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A88" w14:textId="102F3276" w:rsidR="00776E5C" w:rsidRPr="00694B39" w:rsidRDefault="00776E5C" w:rsidP="00776E5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94B39">
        <w:rPr>
          <w:rStyle w:val="normaltextrun"/>
          <w:rFonts w:ascii="Calibri" w:hAnsi="Calibri" w:cs="Calibri"/>
          <w:sz w:val="22"/>
          <w:szCs w:val="22"/>
        </w:rPr>
        <w:t xml:space="preserve">IEDA </w:t>
      </w:r>
      <w:r w:rsidRPr="00694B39">
        <w:rPr>
          <w:rStyle w:val="normaltextrun"/>
          <w:rFonts w:ascii="Calibri" w:hAnsi="Calibri" w:cs="Calibri"/>
          <w:sz w:val="22"/>
          <w:szCs w:val="22"/>
        </w:rPr>
        <w:t xml:space="preserve">MEGA projects </w:t>
      </w:r>
      <w:r w:rsidRPr="00694B39">
        <w:rPr>
          <w:rStyle w:val="normaltextrun"/>
          <w:rFonts w:ascii="Calibri" w:hAnsi="Calibri" w:cs="Calibri"/>
          <w:sz w:val="22"/>
          <w:szCs w:val="22"/>
        </w:rPr>
        <w:t>Bill Memo 2023:</w:t>
      </w:r>
      <w:r w:rsidRPr="00694B39">
        <w:rPr>
          <w:rStyle w:val="eop"/>
          <w:rFonts w:ascii="Calibri" w:hAnsi="Calibri" w:cs="Calibri"/>
          <w:sz w:val="22"/>
          <w:szCs w:val="22"/>
        </w:rPr>
        <w:t> </w:t>
      </w:r>
    </w:p>
    <w:p w14:paraId="7DAF8080" w14:textId="77777777" w:rsidR="00776E5C" w:rsidRPr="00694B39" w:rsidRDefault="00776E5C" w:rsidP="00776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7DD0B5B4" w14:textId="77777777" w:rsidR="00394FA5" w:rsidRPr="00694B39" w:rsidRDefault="00776E5C" w:rsidP="00776E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94B39">
        <w:rPr>
          <w:rStyle w:val="normaltextrun"/>
          <w:rFonts w:ascii="Calibri" w:hAnsi="Calibri" w:cs="Calibri"/>
          <w:sz w:val="22"/>
          <w:szCs w:val="22"/>
        </w:rPr>
        <w:t xml:space="preserve">Proposed title: An act </w:t>
      </w:r>
      <w:r w:rsidR="00394FA5" w:rsidRPr="00694B39">
        <w:rPr>
          <w:rStyle w:val="normaltextrun"/>
          <w:rFonts w:ascii="Calibri" w:hAnsi="Calibri" w:cs="Calibri"/>
          <w:sz w:val="22"/>
          <w:szCs w:val="22"/>
        </w:rPr>
        <w:t>establishing a</w:t>
      </w:r>
      <w:r w:rsidR="00394FA5" w:rsidRPr="00694B39">
        <w:rPr>
          <w:rFonts w:cstheme="minorHAnsi"/>
          <w:sz w:val="22"/>
          <w:szCs w:val="22"/>
        </w:rPr>
        <w:t xml:space="preserve"> </w:t>
      </w:r>
      <w:r w:rsidR="00394FA5" w:rsidRPr="00694B39">
        <w:rPr>
          <w:rFonts w:asciiTheme="minorHAnsi" w:hAnsiTheme="minorHAnsi" w:cstheme="minorHAnsi"/>
          <w:sz w:val="22"/>
          <w:szCs w:val="22"/>
        </w:rPr>
        <w:t>“Major Economic Growth Attraction Program” or “MEGA Program”</w:t>
      </w:r>
      <w:r w:rsidRPr="00694B3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94B39">
        <w:rPr>
          <w:rStyle w:val="normaltextrun"/>
          <w:rFonts w:ascii="Calibri" w:hAnsi="Calibri" w:cs="Calibri"/>
          <w:sz w:val="22"/>
          <w:szCs w:val="22"/>
        </w:rPr>
        <w:t>under the purview of the Economic Development Authority.</w:t>
      </w:r>
    </w:p>
    <w:p w14:paraId="72F91778" w14:textId="528CC790" w:rsidR="00776E5C" w:rsidRPr="00694B39" w:rsidRDefault="00776E5C" w:rsidP="00776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94B39">
        <w:rPr>
          <w:rStyle w:val="eop"/>
          <w:rFonts w:ascii="Calibri" w:hAnsi="Calibri" w:cs="Calibri"/>
          <w:sz w:val="22"/>
          <w:szCs w:val="22"/>
        </w:rPr>
        <w:t> </w:t>
      </w:r>
    </w:p>
    <w:p w14:paraId="59063E4B" w14:textId="163045BC" w:rsidR="00776E5C" w:rsidRPr="00694B39" w:rsidRDefault="00394FA5" w:rsidP="00776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94B39">
        <w:rPr>
          <w:rFonts w:ascii="Calibri" w:hAnsi="Calibri" w:cs="Calibri"/>
          <w:b/>
          <w:bCs/>
          <w:sz w:val="22"/>
          <w:szCs w:val="22"/>
        </w:rPr>
        <w:t>Major Economic Growth Attraction Program or “MEGA Program”</w:t>
      </w:r>
    </w:p>
    <w:p w14:paraId="5F90AC12" w14:textId="67D6ECB6" w:rsidR="00776E5C" w:rsidRPr="00694B39" w:rsidRDefault="00776E5C" w:rsidP="00776E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694B39">
        <w:rPr>
          <w:rStyle w:val="normaltextrun"/>
          <w:rFonts w:ascii="Calibri" w:hAnsi="Calibri" w:cs="Calibri"/>
          <w:sz w:val="22"/>
          <w:szCs w:val="22"/>
          <w:u w:val="single"/>
        </w:rPr>
        <w:t>Background:</w:t>
      </w:r>
      <w:r w:rsidRPr="00694B39">
        <w:rPr>
          <w:rStyle w:val="normaltextrun"/>
          <w:rFonts w:ascii="Calibri" w:hAnsi="Calibri" w:cs="Calibri"/>
          <w:sz w:val="22"/>
          <w:szCs w:val="22"/>
        </w:rPr>
        <w:t> </w:t>
      </w:r>
      <w:r w:rsidRPr="00694B39">
        <w:rPr>
          <w:rStyle w:val="eop"/>
          <w:rFonts w:ascii="Calibri" w:hAnsi="Calibri" w:cs="Calibri"/>
          <w:sz w:val="22"/>
          <w:szCs w:val="22"/>
        </w:rPr>
        <w:t> </w:t>
      </w:r>
    </w:p>
    <w:p w14:paraId="76B835A4" w14:textId="45D427BA" w:rsidR="00EE6D59" w:rsidRPr="00694B39" w:rsidRDefault="00D6690F" w:rsidP="00EE6D59">
      <w:pPr>
        <w:rPr>
          <w:rFonts w:ascii="Calibri" w:eastAsia="Calibri" w:hAnsi="Calibri" w:cs="Calibri"/>
          <w:color w:val="000000" w:themeColor="text1"/>
        </w:rPr>
      </w:pPr>
      <w:r>
        <w:rPr>
          <w:rFonts w:eastAsia="Calibri" w:cstheme="minorHAnsi"/>
          <w:color w:val="000000" w:themeColor="text1"/>
        </w:rPr>
        <w:t>Iowa</w:t>
      </w:r>
      <w:r w:rsidR="00607CAF">
        <w:rPr>
          <w:rFonts w:eastAsia="Calibri" w:cstheme="minorHAnsi"/>
          <w:color w:val="000000" w:themeColor="text1"/>
        </w:rPr>
        <w:t xml:space="preserve"> </w:t>
      </w:r>
      <w:r>
        <w:rPr>
          <w:rFonts w:eastAsia="Calibri" w:cstheme="minorHAnsi"/>
          <w:color w:val="000000" w:themeColor="text1"/>
        </w:rPr>
        <w:t xml:space="preserve">cannot compete for large scale </w:t>
      </w:r>
      <w:r w:rsidR="00AB7A12">
        <w:rPr>
          <w:rFonts w:eastAsia="Calibri" w:cstheme="minorHAnsi"/>
          <w:color w:val="000000" w:themeColor="text1"/>
        </w:rPr>
        <w:t>economic development projects</w:t>
      </w:r>
      <w:r w:rsidR="00CD50A9">
        <w:rPr>
          <w:rFonts w:eastAsia="Calibri" w:cstheme="minorHAnsi"/>
          <w:color w:val="000000" w:themeColor="text1"/>
        </w:rPr>
        <w:t xml:space="preserve"> </w:t>
      </w:r>
      <w:r w:rsidR="00607CAF">
        <w:rPr>
          <w:rFonts w:eastAsia="Calibri" w:cstheme="minorHAnsi"/>
          <w:color w:val="000000" w:themeColor="text1"/>
        </w:rPr>
        <w:t>with its current incentive program and limitation</w:t>
      </w:r>
      <w:r w:rsidR="00AE61DB">
        <w:rPr>
          <w:rFonts w:eastAsia="Calibri" w:cstheme="minorHAnsi"/>
          <w:color w:val="000000" w:themeColor="text1"/>
        </w:rPr>
        <w:t>s.</w:t>
      </w:r>
      <w:r w:rsidR="000A757F">
        <w:rPr>
          <w:rFonts w:eastAsia="Calibri" w:cstheme="minorHAnsi"/>
          <w:color w:val="000000" w:themeColor="text1"/>
        </w:rPr>
        <w:t xml:space="preserve"> </w:t>
      </w:r>
      <w:r w:rsidR="00EE6D59" w:rsidRPr="00694B39">
        <w:rPr>
          <w:rFonts w:eastAsia="Calibri" w:cstheme="minorHAnsi"/>
          <w:color w:val="000000" w:themeColor="text1"/>
        </w:rPr>
        <w:t>To position Iowa for new industries, IEDA proposes a new incentive structure that is available on an extremely limited basis/narrow set of circumstances. Iowa Code chapter 9I limits the amount of agricultural land a foreign corporation may own to 320 acres and requires</w:t>
      </w:r>
      <w:r w:rsidR="00EE6D59" w:rsidRPr="00694B39">
        <w:rPr>
          <w:rFonts w:ascii="Calibri" w:eastAsia="Calibri" w:hAnsi="Calibri" w:cs="Calibri"/>
          <w:color w:val="000000" w:themeColor="text1"/>
        </w:rPr>
        <w:t xml:space="preserve"> that such land must be converted to a nonagricultural use within 5 years. </w:t>
      </w:r>
      <w:r w:rsidR="00795A7B">
        <w:rPr>
          <w:rFonts w:eastAsia="Calibri" w:cstheme="minorHAnsi"/>
          <w:color w:val="000000" w:themeColor="text1"/>
        </w:rPr>
        <w:t xml:space="preserve">Iowa has two certified mega sites (1000+ acres) that are development ready. To </w:t>
      </w:r>
      <w:r w:rsidR="00F52617">
        <w:rPr>
          <w:rFonts w:eastAsia="Calibri" w:cstheme="minorHAnsi"/>
          <w:color w:val="000000" w:themeColor="text1"/>
        </w:rPr>
        <w:t>maximize the economic potential of</w:t>
      </w:r>
      <w:r w:rsidR="00795A7B">
        <w:rPr>
          <w:rFonts w:eastAsia="Calibri" w:cstheme="minorHAnsi"/>
          <w:color w:val="000000" w:themeColor="text1"/>
        </w:rPr>
        <w:t xml:space="preserve"> the mega sites, IEDA proposes establishing an exemption to Iowa Code chapter 9I</w:t>
      </w:r>
      <w:r w:rsidR="00795A7B">
        <w:rPr>
          <w:rFonts w:eastAsia="Calibri" w:cstheme="minorHAnsi"/>
          <w:color w:val="000000" w:themeColor="text1"/>
        </w:rPr>
        <w:t xml:space="preserve"> </w:t>
      </w:r>
      <w:r w:rsidR="00F27DFF">
        <w:rPr>
          <w:rFonts w:eastAsia="Calibri" w:cstheme="minorHAnsi"/>
          <w:color w:val="000000" w:themeColor="text1"/>
        </w:rPr>
        <w:t xml:space="preserve">to allow </w:t>
      </w:r>
      <w:r w:rsidR="00D76065">
        <w:rPr>
          <w:rFonts w:eastAsia="Calibri" w:cstheme="minorHAnsi"/>
          <w:color w:val="000000" w:themeColor="text1"/>
        </w:rPr>
        <w:t xml:space="preserve">projects that </w:t>
      </w:r>
      <w:r w:rsidR="009F1484">
        <w:rPr>
          <w:rFonts w:eastAsia="Calibri" w:cstheme="minorHAnsi"/>
          <w:color w:val="000000" w:themeColor="text1"/>
        </w:rPr>
        <w:t xml:space="preserve">would be placed on mega sites to be foreign-owned and exceed 320 acres. </w:t>
      </w:r>
      <w:r w:rsidR="00EE6D59" w:rsidRPr="00694B39">
        <w:rPr>
          <w:rFonts w:ascii="Calibri" w:eastAsia="Calibri" w:hAnsi="Calibri" w:cs="Calibri"/>
          <w:color w:val="000000" w:themeColor="text1"/>
        </w:rPr>
        <w:t xml:space="preserve">The general assembly previously approved </w:t>
      </w:r>
      <w:r w:rsidR="009F5893">
        <w:rPr>
          <w:rFonts w:ascii="Calibri" w:eastAsia="Calibri" w:hAnsi="Calibri" w:cs="Calibri"/>
          <w:color w:val="000000" w:themeColor="text1"/>
        </w:rPr>
        <w:t>a similar</w:t>
      </w:r>
      <w:r w:rsidR="00EE6D59" w:rsidRPr="00694B39">
        <w:rPr>
          <w:rFonts w:ascii="Calibri" w:eastAsia="Calibri" w:hAnsi="Calibri" w:cs="Calibri"/>
          <w:color w:val="000000" w:themeColor="text1"/>
        </w:rPr>
        <w:t xml:space="preserve"> exemption from</w:t>
      </w:r>
      <w:r w:rsidR="00D5327B">
        <w:rPr>
          <w:rFonts w:ascii="Calibri" w:eastAsia="Calibri" w:hAnsi="Calibri" w:cs="Calibri"/>
          <w:color w:val="000000" w:themeColor="text1"/>
        </w:rPr>
        <w:t xml:space="preserve"> chapter</w:t>
      </w:r>
      <w:r w:rsidR="00EE6D59" w:rsidRPr="00694B39">
        <w:rPr>
          <w:rFonts w:ascii="Calibri" w:eastAsia="Calibri" w:hAnsi="Calibri" w:cs="Calibri"/>
          <w:color w:val="000000" w:themeColor="text1"/>
        </w:rPr>
        <w:t xml:space="preserve"> </w:t>
      </w:r>
      <w:r w:rsidR="006E328C">
        <w:rPr>
          <w:rFonts w:ascii="Calibri" w:eastAsia="Calibri" w:hAnsi="Calibri" w:cs="Calibri"/>
          <w:color w:val="000000" w:themeColor="text1"/>
        </w:rPr>
        <w:t>9I</w:t>
      </w:r>
      <w:r w:rsidR="00EE6D59" w:rsidRPr="00694B39">
        <w:rPr>
          <w:rFonts w:ascii="Calibri" w:eastAsia="Calibri" w:hAnsi="Calibri" w:cs="Calibri"/>
          <w:color w:val="000000" w:themeColor="text1"/>
        </w:rPr>
        <w:t xml:space="preserve"> for projects that participated in the New Jobs and Income Program</w:t>
      </w:r>
      <w:r w:rsidR="00E47872">
        <w:rPr>
          <w:rFonts w:ascii="Calibri" w:eastAsia="Calibri" w:hAnsi="Calibri" w:cs="Calibri"/>
          <w:color w:val="000000" w:themeColor="text1"/>
        </w:rPr>
        <w:t xml:space="preserve"> (IP</w:t>
      </w:r>
      <w:r w:rsidR="00472BDD">
        <w:rPr>
          <w:rFonts w:ascii="Calibri" w:eastAsia="Calibri" w:hAnsi="Calibri" w:cs="Calibri"/>
          <w:color w:val="000000" w:themeColor="text1"/>
        </w:rPr>
        <w:t>SCO</w:t>
      </w:r>
      <w:r w:rsidR="000E5F40">
        <w:rPr>
          <w:rFonts w:ascii="Calibri" w:eastAsia="Calibri" w:hAnsi="Calibri" w:cs="Calibri"/>
          <w:color w:val="000000" w:themeColor="text1"/>
        </w:rPr>
        <w:t xml:space="preserve"> steel</w:t>
      </w:r>
      <w:r w:rsidR="005F0B39">
        <w:rPr>
          <w:rFonts w:ascii="Calibri" w:eastAsia="Calibri" w:hAnsi="Calibri" w:cs="Calibri"/>
          <w:color w:val="000000" w:themeColor="text1"/>
        </w:rPr>
        <w:t>)</w:t>
      </w:r>
      <w:r w:rsidR="00EE6D59" w:rsidRPr="00694B39">
        <w:rPr>
          <w:rFonts w:ascii="Calibri" w:eastAsia="Calibri" w:hAnsi="Calibri" w:cs="Calibri"/>
          <w:color w:val="000000" w:themeColor="text1"/>
        </w:rPr>
        <w:t>.</w:t>
      </w:r>
    </w:p>
    <w:p w14:paraId="2AAAFB3E" w14:textId="6E663642" w:rsidR="00EE6D59" w:rsidRPr="0078323C" w:rsidRDefault="0078323C" w:rsidP="003D7F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Proposal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</w:p>
    <w:p w14:paraId="2967E727" w14:textId="1CA27519" w:rsidR="00776E5C" w:rsidRPr="00694B39" w:rsidRDefault="00776E5C" w:rsidP="003D7FD8">
      <w:pPr>
        <w:pStyle w:val="paragraph"/>
        <w:spacing w:before="0" w:beforeAutospacing="0" w:after="0" w:afterAutospacing="0"/>
        <w:textAlignment w:val="baseline"/>
        <w:rPr>
          <w:rFonts w:ascii="Segoe UI" w:eastAsia="Calibri" w:hAnsi="Segoe UI" w:cs="Segoe UI"/>
          <w:sz w:val="22"/>
          <w:szCs w:val="22"/>
        </w:rPr>
      </w:pPr>
      <w:r w:rsidRPr="00694B39">
        <w:rPr>
          <w:rStyle w:val="normaltextrun"/>
          <w:rFonts w:ascii="Calibri" w:hAnsi="Calibri" w:cs="Calibri"/>
          <w:sz w:val="22"/>
          <w:szCs w:val="22"/>
        </w:rPr>
        <w:t xml:space="preserve">IEDA proposes to </w:t>
      </w:r>
      <w:r w:rsidR="00394FA5" w:rsidRPr="00694B39">
        <w:rPr>
          <w:rStyle w:val="normaltextrun"/>
          <w:rFonts w:ascii="Calibri" w:hAnsi="Calibri" w:cs="Calibri"/>
          <w:sz w:val="22"/>
          <w:szCs w:val="22"/>
        </w:rPr>
        <w:t xml:space="preserve">create </w:t>
      </w:r>
      <w:r w:rsidR="00394FA5" w:rsidRPr="00694B39">
        <w:rPr>
          <w:rFonts w:ascii="Calibri" w:hAnsi="Calibri" w:cs="Calibri"/>
          <w:sz w:val="22"/>
          <w:szCs w:val="22"/>
        </w:rPr>
        <w:t>the “Major Economic Growth Attraction Program” or “MEGA Program”</w:t>
      </w:r>
    </w:p>
    <w:p w14:paraId="1E9D3A78" w14:textId="0D91B20A" w:rsidR="00776E5C" w:rsidRPr="00694B39" w:rsidRDefault="00776E5C" w:rsidP="00776E5C">
      <w:p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Create a new incentive structure for “mega projects” meeting the following criteria:</w:t>
      </w:r>
    </w:p>
    <w:p w14:paraId="10D8C5DE" w14:textId="1C8AAF0E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More than $</w:t>
      </w:r>
      <w:r w:rsidR="00785E46" w:rsidRPr="00694B39">
        <w:rPr>
          <w:rFonts w:eastAsia="Calibri" w:cstheme="minorHAnsi"/>
          <w:color w:val="000000" w:themeColor="text1"/>
        </w:rPr>
        <w:t xml:space="preserve">1 billion </w:t>
      </w:r>
      <w:r w:rsidRPr="00694B39">
        <w:rPr>
          <w:rFonts w:eastAsia="Calibri" w:cstheme="minorHAnsi"/>
          <w:color w:val="000000" w:themeColor="text1"/>
        </w:rPr>
        <w:t xml:space="preserve">in capital investment </w:t>
      </w:r>
    </w:p>
    <w:p w14:paraId="4743FC14" w14:textId="77777777" w:rsidR="00D07E10" w:rsidRPr="00694B39" w:rsidRDefault="00D07E10" w:rsidP="00D07E10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Advanced manufacturing, biosciences, research businesses only</w:t>
      </w:r>
    </w:p>
    <w:p w14:paraId="672B98EF" w14:textId="77777777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 xml:space="preserve">Created jobs must pay at least 140 percent of the </w:t>
      </w:r>
      <w:proofErr w:type="spellStart"/>
      <w:r w:rsidRPr="00694B39">
        <w:rPr>
          <w:rFonts w:eastAsia="Calibri" w:cstheme="minorHAnsi"/>
          <w:color w:val="000000" w:themeColor="text1"/>
        </w:rPr>
        <w:t>laborshed</w:t>
      </w:r>
      <w:proofErr w:type="spellEnd"/>
      <w:r w:rsidRPr="00694B39">
        <w:rPr>
          <w:rFonts w:eastAsia="Calibri" w:cstheme="minorHAnsi"/>
          <w:color w:val="000000" w:themeColor="text1"/>
        </w:rPr>
        <w:t xml:space="preserve"> wage (as defined in Code section 15.327 applicable to the </w:t>
      </w:r>
      <w:proofErr w:type="gramStart"/>
      <w:r w:rsidRPr="00694B39">
        <w:rPr>
          <w:rFonts w:eastAsia="Calibri" w:cstheme="minorHAnsi"/>
          <w:color w:val="000000" w:themeColor="text1"/>
        </w:rPr>
        <w:t>high quality</w:t>
      </w:r>
      <w:proofErr w:type="gramEnd"/>
      <w:r w:rsidRPr="00694B39">
        <w:rPr>
          <w:rFonts w:eastAsia="Calibri" w:cstheme="minorHAnsi"/>
          <w:color w:val="000000" w:themeColor="text1"/>
        </w:rPr>
        <w:t xml:space="preserve"> jobs program) at the time the project is completed </w:t>
      </w:r>
    </w:p>
    <w:p w14:paraId="0E96E703" w14:textId="77777777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Must offer qualified benefits plan (consistent with HQJP)</w:t>
      </w:r>
    </w:p>
    <w:p w14:paraId="4E291DEE" w14:textId="40C8E295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 xml:space="preserve">Located at certified site (industrial or mega) – certified pursuant to 15E.18/261 IAC 77. </w:t>
      </w:r>
      <w:r w:rsidR="00442E5F">
        <w:rPr>
          <w:rFonts w:eastAsia="Calibri" w:cstheme="minorHAnsi"/>
          <w:color w:val="000000" w:themeColor="text1"/>
        </w:rPr>
        <w:t xml:space="preserve"> </w:t>
      </w:r>
    </w:p>
    <w:p w14:paraId="099CA4AF" w14:textId="7294953E" w:rsidR="00776E5C" w:rsidRPr="00694B39" w:rsidRDefault="00776E5C" w:rsidP="00776E5C">
      <w:p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Benefits:</w:t>
      </w:r>
      <w:r w:rsidR="004D225E" w:rsidRPr="00694B39">
        <w:rPr>
          <w:rFonts w:eastAsia="Calibri" w:cstheme="minorHAnsi"/>
          <w:color w:val="000000" w:themeColor="text1"/>
        </w:rPr>
        <w:t xml:space="preserve"> IEDA may authorize any combination of benefits below:</w:t>
      </w:r>
    </w:p>
    <w:p w14:paraId="59668CE3" w14:textId="77777777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Refund of sales, service, and use taxes paid to contractors or subcontractors during construction (not subject to an aggregate tax credit limitation)</w:t>
      </w:r>
    </w:p>
    <w:p w14:paraId="4E37CCF6" w14:textId="7928AB77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 xml:space="preserve">Refundable investment tax credit up to 5 percent of the capital investment (not subject to an aggregate tax credit limitation) </w:t>
      </w:r>
    </w:p>
    <w:p w14:paraId="1460DEC7" w14:textId="3317808A" w:rsidR="0062464D" w:rsidRPr="00694B39" w:rsidRDefault="0062464D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>Withholding tax credit</w:t>
      </w:r>
    </w:p>
    <w:p w14:paraId="4DBED3CE" w14:textId="02BA1D20" w:rsidR="00776E5C" w:rsidRPr="00694B39" w:rsidRDefault="00776E5C" w:rsidP="00776E5C">
      <w:pPr>
        <w:pStyle w:val="ListParagraph"/>
        <w:numPr>
          <w:ilvl w:val="0"/>
          <w:numId w:val="1"/>
        </w:numPr>
        <w:tabs>
          <w:tab w:val="left" w:pos="1590"/>
        </w:tabs>
        <w:rPr>
          <w:rFonts w:eastAsia="Calibri" w:cstheme="minorHAnsi"/>
          <w:color w:val="000000" w:themeColor="text1"/>
        </w:rPr>
      </w:pPr>
      <w:r w:rsidRPr="00694B39">
        <w:rPr>
          <w:rFonts w:eastAsia="Calibri" w:cstheme="minorHAnsi"/>
          <w:color w:val="000000" w:themeColor="text1"/>
        </w:rPr>
        <w:t xml:space="preserve">Amounts </w:t>
      </w:r>
      <w:r w:rsidR="003A7767" w:rsidRPr="00694B39">
        <w:rPr>
          <w:rFonts w:eastAsia="Calibri" w:cstheme="minorHAnsi"/>
          <w:color w:val="000000" w:themeColor="text1"/>
        </w:rPr>
        <w:t xml:space="preserve">of incentives awarded are </w:t>
      </w:r>
      <w:r w:rsidRPr="00694B39">
        <w:rPr>
          <w:rFonts w:eastAsia="Calibri" w:cstheme="minorHAnsi"/>
          <w:color w:val="000000" w:themeColor="text1"/>
        </w:rPr>
        <w:t>subject to negotiation</w:t>
      </w:r>
    </w:p>
    <w:p w14:paraId="2CD068E5" w14:textId="4EFFB48B" w:rsidR="00776E5C" w:rsidRPr="00694B39" w:rsidRDefault="00776E5C" w:rsidP="00776E5C">
      <w:pPr>
        <w:tabs>
          <w:tab w:val="left" w:pos="1590"/>
        </w:tabs>
        <w:rPr>
          <w:rFonts w:eastAsia="Calibri" w:cstheme="minorHAnsi"/>
          <w:color w:val="000000" w:themeColor="text1"/>
        </w:rPr>
      </w:pPr>
      <w:proofErr w:type="gramStart"/>
      <w:r w:rsidRPr="00694B39">
        <w:rPr>
          <w:rFonts w:eastAsia="Calibri" w:cstheme="minorHAnsi"/>
          <w:color w:val="000000" w:themeColor="text1"/>
        </w:rPr>
        <w:t>Foreign-ownership</w:t>
      </w:r>
      <w:proofErr w:type="gramEnd"/>
      <w:r w:rsidRPr="00694B39">
        <w:rPr>
          <w:rFonts w:eastAsia="Calibri" w:cstheme="minorHAnsi"/>
          <w:color w:val="000000" w:themeColor="text1"/>
        </w:rPr>
        <w:t xml:space="preserve"> of land restrictions in chapter 9I are removed for projects meeting the criteria and located at a mega site</w:t>
      </w:r>
      <w:r w:rsidR="001F2A12">
        <w:rPr>
          <w:rFonts w:eastAsia="Calibri" w:cstheme="minorHAnsi"/>
          <w:color w:val="000000" w:themeColor="text1"/>
        </w:rPr>
        <w:t xml:space="preserve"> only</w:t>
      </w:r>
      <w:r w:rsidRPr="00694B39">
        <w:rPr>
          <w:rFonts w:eastAsia="Calibri" w:cstheme="minorHAnsi"/>
          <w:color w:val="000000" w:themeColor="text1"/>
        </w:rPr>
        <w:t xml:space="preserve">. </w:t>
      </w:r>
    </w:p>
    <w:p w14:paraId="1C8E6AA0" w14:textId="02534A14" w:rsidR="00776E5C" w:rsidRPr="00694B39" w:rsidRDefault="00EB58B8" w:rsidP="00776E5C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The a</w:t>
      </w:r>
      <w:r w:rsidR="00776E5C" w:rsidRPr="00694B39">
        <w:rPr>
          <w:rFonts w:eastAsia="Calibri" w:cstheme="minorHAnsi"/>
          <w:color w:val="000000" w:themeColor="text1"/>
        </w:rPr>
        <w:t xml:space="preserve">ward/administration process </w:t>
      </w:r>
      <w:r>
        <w:rPr>
          <w:rFonts w:eastAsia="Calibri" w:cstheme="minorHAnsi"/>
          <w:color w:val="000000" w:themeColor="text1"/>
        </w:rPr>
        <w:t xml:space="preserve">is expected to be </w:t>
      </w:r>
      <w:r w:rsidR="00776E5C" w:rsidRPr="00694B39">
        <w:rPr>
          <w:rFonts w:eastAsia="Calibri" w:cstheme="minorHAnsi"/>
          <w:color w:val="000000" w:themeColor="text1"/>
        </w:rPr>
        <w:t>consistent with High Quality Jobs Program</w:t>
      </w:r>
      <w:r>
        <w:rPr>
          <w:rFonts w:eastAsia="Calibri" w:cstheme="minorHAnsi"/>
          <w:color w:val="000000" w:themeColor="text1"/>
        </w:rPr>
        <w:t xml:space="preserve"> to the extent possible</w:t>
      </w:r>
      <w:r w:rsidR="00C82AE5" w:rsidRPr="00694B39">
        <w:rPr>
          <w:rFonts w:eastAsia="Calibri" w:cstheme="minorHAnsi"/>
          <w:color w:val="000000" w:themeColor="text1"/>
        </w:rPr>
        <w:t>.</w:t>
      </w:r>
    </w:p>
    <w:p w14:paraId="5898515B" w14:textId="77777777" w:rsidR="00776E5C" w:rsidRPr="00694B39" w:rsidRDefault="00776E5C" w:rsidP="00776E5C"/>
    <w:sectPr w:rsidR="00776E5C" w:rsidRPr="0069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4B67"/>
    <w:multiLevelType w:val="hybridMultilevel"/>
    <w:tmpl w:val="9244E4E0"/>
    <w:lvl w:ilvl="0" w:tplc="4A8440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3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5C"/>
    <w:rsid w:val="000335A6"/>
    <w:rsid w:val="0006435A"/>
    <w:rsid w:val="00083FE3"/>
    <w:rsid w:val="000A757F"/>
    <w:rsid w:val="000E5EF4"/>
    <w:rsid w:val="000E5F40"/>
    <w:rsid w:val="000E7E47"/>
    <w:rsid w:val="000F42EE"/>
    <w:rsid w:val="0010510E"/>
    <w:rsid w:val="0010555A"/>
    <w:rsid w:val="00114B66"/>
    <w:rsid w:val="001314C9"/>
    <w:rsid w:val="00131743"/>
    <w:rsid w:val="00137BD7"/>
    <w:rsid w:val="00145C1F"/>
    <w:rsid w:val="00150F84"/>
    <w:rsid w:val="00162876"/>
    <w:rsid w:val="001650B2"/>
    <w:rsid w:val="00172DF3"/>
    <w:rsid w:val="00176E04"/>
    <w:rsid w:val="001A06DD"/>
    <w:rsid w:val="001D2F6E"/>
    <w:rsid w:val="001F2A12"/>
    <w:rsid w:val="00221820"/>
    <w:rsid w:val="00231084"/>
    <w:rsid w:val="0023174A"/>
    <w:rsid w:val="002669CE"/>
    <w:rsid w:val="0029627B"/>
    <w:rsid w:val="002B42E5"/>
    <w:rsid w:val="002E230D"/>
    <w:rsid w:val="002F14A2"/>
    <w:rsid w:val="002F315B"/>
    <w:rsid w:val="00327021"/>
    <w:rsid w:val="003745B9"/>
    <w:rsid w:val="0039355C"/>
    <w:rsid w:val="00394FA5"/>
    <w:rsid w:val="003A49DB"/>
    <w:rsid w:val="003A7767"/>
    <w:rsid w:val="003C597C"/>
    <w:rsid w:val="003D7FD8"/>
    <w:rsid w:val="00404D0C"/>
    <w:rsid w:val="00421AA8"/>
    <w:rsid w:val="00437390"/>
    <w:rsid w:val="0044284D"/>
    <w:rsid w:val="00442E5F"/>
    <w:rsid w:val="00455945"/>
    <w:rsid w:val="00472BDD"/>
    <w:rsid w:val="00492713"/>
    <w:rsid w:val="004A36A1"/>
    <w:rsid w:val="004C1C72"/>
    <w:rsid w:val="004D225E"/>
    <w:rsid w:val="004F0AA3"/>
    <w:rsid w:val="004F2AE8"/>
    <w:rsid w:val="004F4E4E"/>
    <w:rsid w:val="005004A4"/>
    <w:rsid w:val="0050451A"/>
    <w:rsid w:val="0051368A"/>
    <w:rsid w:val="005366E3"/>
    <w:rsid w:val="00575D20"/>
    <w:rsid w:val="00582ADD"/>
    <w:rsid w:val="00585968"/>
    <w:rsid w:val="005E3642"/>
    <w:rsid w:val="005F0B39"/>
    <w:rsid w:val="00607CAF"/>
    <w:rsid w:val="00614A67"/>
    <w:rsid w:val="00617A58"/>
    <w:rsid w:val="0062464D"/>
    <w:rsid w:val="006322FD"/>
    <w:rsid w:val="00655FBA"/>
    <w:rsid w:val="00657E6F"/>
    <w:rsid w:val="00663E71"/>
    <w:rsid w:val="00677109"/>
    <w:rsid w:val="00694B39"/>
    <w:rsid w:val="006B730A"/>
    <w:rsid w:val="006C2698"/>
    <w:rsid w:val="006C26F8"/>
    <w:rsid w:val="006D4C9D"/>
    <w:rsid w:val="006E328C"/>
    <w:rsid w:val="00726337"/>
    <w:rsid w:val="00727FED"/>
    <w:rsid w:val="00751E30"/>
    <w:rsid w:val="007532FD"/>
    <w:rsid w:val="007605E6"/>
    <w:rsid w:val="00776E5C"/>
    <w:rsid w:val="0078323C"/>
    <w:rsid w:val="00785E46"/>
    <w:rsid w:val="00785FC1"/>
    <w:rsid w:val="00795A7B"/>
    <w:rsid w:val="007A1958"/>
    <w:rsid w:val="007D4EE3"/>
    <w:rsid w:val="007D6CB7"/>
    <w:rsid w:val="007E594D"/>
    <w:rsid w:val="0080135A"/>
    <w:rsid w:val="008031E9"/>
    <w:rsid w:val="00807C34"/>
    <w:rsid w:val="0083057E"/>
    <w:rsid w:val="008306F4"/>
    <w:rsid w:val="00847EFF"/>
    <w:rsid w:val="00872C14"/>
    <w:rsid w:val="00876CBF"/>
    <w:rsid w:val="008877D4"/>
    <w:rsid w:val="008D5F9C"/>
    <w:rsid w:val="008E1D7C"/>
    <w:rsid w:val="00905E96"/>
    <w:rsid w:val="00915CF0"/>
    <w:rsid w:val="0095604E"/>
    <w:rsid w:val="0095777D"/>
    <w:rsid w:val="00992AD3"/>
    <w:rsid w:val="009979A8"/>
    <w:rsid w:val="009D16EA"/>
    <w:rsid w:val="009D3031"/>
    <w:rsid w:val="009D4FAC"/>
    <w:rsid w:val="009E0B62"/>
    <w:rsid w:val="009F1484"/>
    <w:rsid w:val="009F5893"/>
    <w:rsid w:val="00A15781"/>
    <w:rsid w:val="00A23841"/>
    <w:rsid w:val="00A36192"/>
    <w:rsid w:val="00A50F08"/>
    <w:rsid w:val="00A52CD2"/>
    <w:rsid w:val="00A60BB5"/>
    <w:rsid w:val="00A6423B"/>
    <w:rsid w:val="00A72310"/>
    <w:rsid w:val="00A8733D"/>
    <w:rsid w:val="00A905F7"/>
    <w:rsid w:val="00AB7A12"/>
    <w:rsid w:val="00AE2889"/>
    <w:rsid w:val="00AE5505"/>
    <w:rsid w:val="00AE61DB"/>
    <w:rsid w:val="00AE6605"/>
    <w:rsid w:val="00B14D6C"/>
    <w:rsid w:val="00B3763B"/>
    <w:rsid w:val="00B46911"/>
    <w:rsid w:val="00B52AF9"/>
    <w:rsid w:val="00B95018"/>
    <w:rsid w:val="00BB769E"/>
    <w:rsid w:val="00C03B10"/>
    <w:rsid w:val="00C454AF"/>
    <w:rsid w:val="00C506FA"/>
    <w:rsid w:val="00C65699"/>
    <w:rsid w:val="00C72C30"/>
    <w:rsid w:val="00C82AE5"/>
    <w:rsid w:val="00C90068"/>
    <w:rsid w:val="00CD09B1"/>
    <w:rsid w:val="00CD50A9"/>
    <w:rsid w:val="00CE6582"/>
    <w:rsid w:val="00D04B31"/>
    <w:rsid w:val="00D07B14"/>
    <w:rsid w:val="00D07E10"/>
    <w:rsid w:val="00D13710"/>
    <w:rsid w:val="00D2562B"/>
    <w:rsid w:val="00D5327B"/>
    <w:rsid w:val="00D57E5A"/>
    <w:rsid w:val="00D6243D"/>
    <w:rsid w:val="00D6690F"/>
    <w:rsid w:val="00D76065"/>
    <w:rsid w:val="00D76F0D"/>
    <w:rsid w:val="00DE1B83"/>
    <w:rsid w:val="00DF0327"/>
    <w:rsid w:val="00DF601A"/>
    <w:rsid w:val="00E06F39"/>
    <w:rsid w:val="00E47872"/>
    <w:rsid w:val="00E859A1"/>
    <w:rsid w:val="00E97CDC"/>
    <w:rsid w:val="00EA09CE"/>
    <w:rsid w:val="00EA2BF6"/>
    <w:rsid w:val="00EB2347"/>
    <w:rsid w:val="00EB2A91"/>
    <w:rsid w:val="00EB58B8"/>
    <w:rsid w:val="00EC69FA"/>
    <w:rsid w:val="00EE5736"/>
    <w:rsid w:val="00EE6D59"/>
    <w:rsid w:val="00F02E2D"/>
    <w:rsid w:val="00F24B05"/>
    <w:rsid w:val="00F25512"/>
    <w:rsid w:val="00F27DFF"/>
    <w:rsid w:val="00F4558E"/>
    <w:rsid w:val="00F514FD"/>
    <w:rsid w:val="00F52617"/>
    <w:rsid w:val="00F62775"/>
    <w:rsid w:val="00F75177"/>
    <w:rsid w:val="00F7788C"/>
    <w:rsid w:val="00F874EA"/>
    <w:rsid w:val="00F942B3"/>
    <w:rsid w:val="00FA22ED"/>
    <w:rsid w:val="00FA3A44"/>
    <w:rsid w:val="00FA706C"/>
    <w:rsid w:val="00FB5A7B"/>
    <w:rsid w:val="00FC4B14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C79F"/>
  <w15:chartTrackingRefBased/>
  <w15:docId w15:val="{4936E901-6F5F-483C-9D28-36414A51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76E5C"/>
    <w:pPr>
      <w:ind w:left="720"/>
      <w:contextualSpacing/>
    </w:pPr>
  </w:style>
  <w:style w:type="paragraph" w:customStyle="1" w:styleId="paragraph">
    <w:name w:val="paragraph"/>
    <w:basedOn w:val="Normal"/>
    <w:rsid w:val="0077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6E5C"/>
  </w:style>
  <w:style w:type="character" w:customStyle="1" w:styleId="eop">
    <w:name w:val="eop"/>
    <w:basedOn w:val="DefaultParagraphFont"/>
    <w:rsid w:val="00776E5C"/>
  </w:style>
  <w:style w:type="paragraph" w:styleId="Revision">
    <w:name w:val="Revision"/>
    <w:hidden/>
    <w:uiPriority w:val="99"/>
    <w:semiHidden/>
    <w:rsid w:val="00AE28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0" ma:contentTypeDescription="Create a new document." ma:contentTypeScope="" ma:versionID="aee97d858532aa53b207dfd5162e17a7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c1d68dc3f71bf6e326a269acae74c49f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004A-0CF5-43DE-9F8D-C6AF44CD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A0382-FB28-40E2-AF44-F4E580789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CBDE6-42A0-405D-BBDC-202AF6A0EEB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1d9aa3b6-f5fb-4571-8701-56f20689897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2cbfc94-a69a-4175-9de2-749d5ca1cf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Triplett</dc:creator>
  <cp:keywords/>
  <dc:description/>
  <cp:lastModifiedBy>Deanna Triplett</cp:lastModifiedBy>
  <cp:revision>2</cp:revision>
  <dcterms:created xsi:type="dcterms:W3CDTF">2022-11-28T20:56:00Z</dcterms:created>
  <dcterms:modified xsi:type="dcterms:W3CDTF">2022-11-28T20:56:00Z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