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69F6" w14:textId="7E3D1253" w:rsidR="00C70A2D" w:rsidRDefault="00C70A2D">
      <w:pPr>
        <w:spacing w:before="34" w:line="229" w:lineRule="exact"/>
        <w:jc w:val="center"/>
        <w:textAlignment w:val="baseline"/>
        <w:rPr>
          <w:rFonts w:ascii="Calibri" w:eastAsia="Calibri" w:hAnsi="Calibri"/>
          <w:b/>
          <w:color w:val="000000"/>
          <w:spacing w:val="-4"/>
          <w:sz w:val="23"/>
        </w:rPr>
      </w:pPr>
      <w:r>
        <w:rPr>
          <w:rFonts w:ascii="Calibri" w:eastAsia="Calibri" w:hAnsi="Calibri"/>
          <w:b/>
          <w:color w:val="000000"/>
          <w:spacing w:val="-4"/>
          <w:sz w:val="23"/>
        </w:rPr>
        <w:t>2</w:t>
      </w:r>
      <w:r w:rsidRPr="00C70A2D">
        <w:rPr>
          <w:rFonts w:ascii="Calibri" w:eastAsia="Calibri" w:hAnsi="Calibri"/>
          <w:b/>
          <w:color w:val="000000"/>
          <w:spacing w:val="-4"/>
          <w:sz w:val="23"/>
          <w:vertAlign w:val="superscript"/>
        </w:rPr>
        <w:t>nd</w:t>
      </w:r>
      <w:r>
        <w:rPr>
          <w:rFonts w:ascii="Calibri" w:eastAsia="Calibri" w:hAnsi="Calibri"/>
          <w:b/>
          <w:color w:val="000000"/>
          <w:spacing w:val="-4"/>
          <w:sz w:val="23"/>
        </w:rPr>
        <w:t xml:space="preserve"> Discussion DRAFT – 08/14/2020</w:t>
      </w:r>
    </w:p>
    <w:p w14:paraId="07F50393" w14:textId="36EB4993" w:rsidR="00C70A2D" w:rsidRDefault="00C70A2D">
      <w:pPr>
        <w:spacing w:before="34" w:line="229" w:lineRule="exact"/>
        <w:jc w:val="center"/>
        <w:textAlignment w:val="baseline"/>
        <w:rPr>
          <w:rFonts w:ascii="Calibri" w:eastAsia="Calibri" w:hAnsi="Calibri"/>
          <w:b/>
          <w:color w:val="000000"/>
          <w:spacing w:val="-4"/>
          <w:sz w:val="23"/>
        </w:rPr>
      </w:pPr>
      <w:r>
        <w:rPr>
          <w:rFonts w:ascii="Calibri" w:eastAsia="Calibri" w:hAnsi="Calibri"/>
          <w:b/>
          <w:color w:val="000000"/>
          <w:spacing w:val="-4"/>
          <w:sz w:val="23"/>
        </w:rPr>
        <w:t xml:space="preserve">Email comments by 9/14/2020 to </w:t>
      </w:r>
      <w:hyperlink r:id="rId8" w:history="1">
        <w:r w:rsidRPr="00DE75E0">
          <w:rPr>
            <w:rStyle w:val="Hyperlink"/>
            <w:rFonts w:ascii="Calibri" w:eastAsia="Calibri" w:hAnsi="Calibri"/>
            <w:b/>
            <w:spacing w:val="-4"/>
            <w:sz w:val="23"/>
          </w:rPr>
          <w:t>CETA@commerce.wa.gov</w:t>
        </w:r>
      </w:hyperlink>
      <w:r>
        <w:rPr>
          <w:rFonts w:ascii="Calibri" w:eastAsia="Calibri" w:hAnsi="Calibri"/>
          <w:b/>
          <w:color w:val="000000"/>
          <w:spacing w:val="-4"/>
          <w:sz w:val="23"/>
        </w:rPr>
        <w:t xml:space="preserve"> </w:t>
      </w:r>
    </w:p>
    <w:p w14:paraId="7B726663" w14:textId="77777777" w:rsidR="00C70A2D" w:rsidRDefault="00C70A2D">
      <w:pPr>
        <w:spacing w:before="34" w:line="229" w:lineRule="exact"/>
        <w:jc w:val="center"/>
        <w:textAlignment w:val="baseline"/>
        <w:rPr>
          <w:rFonts w:ascii="Calibri" w:eastAsia="Calibri" w:hAnsi="Calibri"/>
          <w:b/>
          <w:color w:val="000000"/>
          <w:spacing w:val="-4"/>
          <w:sz w:val="23"/>
        </w:rPr>
      </w:pPr>
    </w:p>
    <w:p w14:paraId="357CB8DB" w14:textId="0D09A284" w:rsidR="00856B03" w:rsidRDefault="00DD3FE7">
      <w:pPr>
        <w:spacing w:before="34" w:line="229" w:lineRule="exact"/>
        <w:jc w:val="center"/>
        <w:textAlignment w:val="baseline"/>
        <w:rPr>
          <w:rFonts w:ascii="Calibri" w:eastAsia="Calibri" w:hAnsi="Calibri"/>
          <w:b/>
          <w:color w:val="000000"/>
          <w:spacing w:val="-4"/>
          <w:sz w:val="23"/>
        </w:rPr>
      </w:pPr>
      <w:r>
        <w:rPr>
          <w:rFonts w:ascii="Calibri" w:eastAsia="Calibri" w:hAnsi="Calibri"/>
          <w:b/>
          <w:color w:val="000000"/>
          <w:spacing w:val="-4"/>
          <w:sz w:val="23"/>
        </w:rPr>
        <w:t>Chapter 194-40 Clean Energy Transformation</w:t>
      </w:r>
    </w:p>
    <w:tbl>
      <w:tblPr>
        <w:tblStyle w:val="TableGrid"/>
        <w:tblW w:w="9715" w:type="dxa"/>
        <w:tblLook w:val="04A0" w:firstRow="1" w:lastRow="0" w:firstColumn="1" w:lastColumn="0" w:noHBand="0" w:noVBand="1"/>
      </w:tblPr>
      <w:tblGrid>
        <w:gridCol w:w="9715"/>
      </w:tblGrid>
      <w:tr w:rsidR="00B139DE" w14:paraId="05EB5372" w14:textId="77777777" w:rsidTr="007248F0">
        <w:tc>
          <w:tcPr>
            <w:tcW w:w="9715" w:type="dxa"/>
            <w:shd w:val="clear" w:color="auto" w:fill="auto"/>
          </w:tcPr>
          <w:p w14:paraId="0CCC8A4B" w14:textId="77777777" w:rsidR="00B139DE" w:rsidRDefault="00B139DE" w:rsidP="00D158E6">
            <w:pPr>
              <w:spacing w:line="238"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194-40-010 – Purpose and scope. </w:t>
            </w:r>
            <w:r>
              <w:rPr>
                <w:rFonts w:eastAsia="Times New Roman"/>
                <w:b/>
                <w:i/>
                <w:color w:val="000000"/>
                <w:spacing w:val="-2"/>
              </w:rPr>
              <w:t>(already in effect)</w:t>
            </w:r>
          </w:p>
          <w:p w14:paraId="1DE225D5" w14:textId="77777777" w:rsidR="00B139DE" w:rsidRDefault="00B139DE" w:rsidP="00D158E6">
            <w:pPr>
              <w:spacing w:before="191" w:line="308" w:lineRule="exact"/>
              <w:ind w:right="72"/>
              <w:textAlignment w:val="baseline"/>
              <w:rPr>
                <w:rFonts w:ascii="Calibri" w:eastAsia="Calibri" w:hAnsi="Calibri"/>
                <w:color w:val="000000"/>
              </w:rPr>
            </w:pPr>
            <w:r>
              <w:rPr>
                <w:rFonts w:ascii="Calibri" w:eastAsia="Calibri" w:hAnsi="Calibri"/>
                <w:color w:val="000000"/>
              </w:rPr>
              <w:t>The purpose of this chapter is to implement the requirements of the Clean Energy Transformation Act, chapter 19.405 RCW, and Chapter 19.280 RCW.</w:t>
            </w:r>
          </w:p>
          <w:p w14:paraId="07D213E8" w14:textId="77777777" w:rsidR="00B139DE" w:rsidRDefault="00B139DE" w:rsidP="00D158E6">
            <w:pPr>
              <w:spacing w:before="279" w:line="238"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194-40-020 – Applicability. </w:t>
            </w:r>
            <w:r>
              <w:rPr>
                <w:rFonts w:eastAsia="Times New Roman"/>
                <w:b/>
                <w:i/>
                <w:color w:val="000000"/>
                <w:spacing w:val="-2"/>
              </w:rPr>
              <w:t>(already in effect)</w:t>
            </w:r>
          </w:p>
          <w:p w14:paraId="21524F40" w14:textId="77777777" w:rsidR="00B139DE" w:rsidRDefault="00B139DE" w:rsidP="00D158E6">
            <w:pPr>
              <w:spacing w:before="194" w:line="307" w:lineRule="exact"/>
              <w:textAlignment w:val="baseline"/>
              <w:rPr>
                <w:rFonts w:ascii="Calibri" w:eastAsia="Calibri" w:hAnsi="Calibri"/>
                <w:color w:val="000000"/>
              </w:rPr>
            </w:pPr>
            <w:r>
              <w:rPr>
                <w:rFonts w:ascii="Calibri" w:eastAsia="Calibri" w:hAnsi="Calibri"/>
                <w:color w:val="000000"/>
              </w:rPr>
              <w:t>Unless specifically provided otherwise, the provisions of this chapter apply to consumer-owned electric utilities that provide electrical service to retail customers in the state of Washington.</w:t>
            </w:r>
          </w:p>
          <w:p w14:paraId="6DB704EB" w14:textId="77777777" w:rsidR="00B139DE" w:rsidRDefault="00B139DE" w:rsidP="00D158E6">
            <w:pPr>
              <w:spacing w:before="279"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194-40-022 – Severability.</w:t>
            </w:r>
          </w:p>
          <w:p w14:paraId="21448DD4" w14:textId="77777777" w:rsidR="00B139DE" w:rsidRPr="00D158E6" w:rsidRDefault="00B139DE" w:rsidP="00D158E6">
            <w:pPr>
              <w:spacing w:before="200" w:line="309" w:lineRule="exact"/>
              <w:ind w:right="216"/>
              <w:textAlignment w:val="baseline"/>
              <w:rPr>
                <w:rFonts w:ascii="Calibri" w:eastAsia="Calibri" w:hAnsi="Calibri"/>
                <w:color w:val="000000"/>
              </w:rPr>
            </w:pPr>
            <w:r>
              <w:rPr>
                <w:rFonts w:ascii="Calibri" w:eastAsia="Calibri" w:hAnsi="Calibri"/>
                <w:color w:val="000000"/>
              </w:rPr>
              <w:t>If any provision of this chapter or its application to any person or circumstance is held invalid, the remainder of the chapter or the application of the provision to other persons or circumstances is not affected.</w:t>
            </w:r>
          </w:p>
        </w:tc>
        <w:bookmarkStart w:id="0" w:name="_GoBack"/>
        <w:bookmarkEnd w:id="0"/>
      </w:tr>
      <w:tr w:rsidR="00B139DE" w14:paraId="6962E01C" w14:textId="77777777" w:rsidTr="007248F0">
        <w:tc>
          <w:tcPr>
            <w:tcW w:w="9715" w:type="dxa"/>
            <w:shd w:val="clear" w:color="auto" w:fill="auto"/>
          </w:tcPr>
          <w:p w14:paraId="2FECE0C1" w14:textId="77777777" w:rsidR="00B139DE" w:rsidRDefault="00B139DE" w:rsidP="00D158E6">
            <w:pPr>
              <w:spacing w:before="281"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194-40-030 – Definitions.</w:t>
            </w:r>
          </w:p>
          <w:p w14:paraId="2D7729A0" w14:textId="77777777"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Unless specifically provided otherwise, the terms defined in RCW 19.405.020 have the same meaning here.</w:t>
            </w:r>
          </w:p>
          <w:p w14:paraId="4F84ACFA" w14:textId="77777777"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“100% Clean Electricity Standard” means the standard established in RCW 19.405.050(1) and any requirements necessary for compliance with that standard.</w:t>
            </w:r>
          </w:p>
          <w:p w14:paraId="2FECC219" w14:textId="77777777"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“GHG neutral compliance period” means each of the periods identified in RCW 19.405.040(1</w:t>
            </w:r>
            <w:proofErr w:type="gramStart"/>
            <w:r>
              <w:rPr>
                <w:rFonts w:ascii="Calibri" w:eastAsia="Calibri" w:hAnsi="Calibri"/>
                <w:color w:val="000000"/>
              </w:rPr>
              <w:t>)(</w:t>
            </w:r>
            <w:proofErr w:type="gramEnd"/>
            <w:r>
              <w:rPr>
                <w:rFonts w:ascii="Calibri" w:eastAsia="Calibri" w:hAnsi="Calibri"/>
                <w:color w:val="000000"/>
              </w:rPr>
              <w:t>a).</w:t>
            </w:r>
          </w:p>
          <w:p w14:paraId="28DEF34E" w14:textId="0B671F29"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“GHG Neutral Standard” means the standard established in RCW 19.405.040(1) and any requirements necessary for compliance with that standard.</w:t>
            </w:r>
          </w:p>
          <w:p w14:paraId="0E231B60" w14:textId="503DCE75" w:rsidR="00B25512" w:rsidRDefault="00B25512" w:rsidP="00D158E6">
            <w:pPr>
              <w:spacing w:line="312" w:lineRule="exact"/>
              <w:ind w:right="144"/>
              <w:textAlignment w:val="baseline"/>
              <w:rPr>
                <w:rFonts w:ascii="Calibri" w:eastAsia="Calibri" w:hAnsi="Calibri"/>
                <w:color w:val="000000"/>
              </w:rPr>
            </w:pPr>
            <w:r>
              <w:rPr>
                <w:rFonts w:ascii="Calibri" w:eastAsia="Calibri" w:hAnsi="Calibri"/>
                <w:color w:val="000000"/>
              </w:rPr>
              <w:t xml:space="preserve">&lt;&gt; </w:t>
            </w:r>
            <w:r w:rsidRPr="00A15E9B">
              <w:rPr>
                <w:rFonts w:ascii="Calibri" w:eastAsia="Calibri" w:hAnsi="Calibri"/>
                <w:color w:val="000000"/>
              </w:rPr>
              <w:t xml:space="preserve">“Indicator” means an attribute, </w:t>
            </w:r>
            <w:proofErr w:type="gramStart"/>
            <w:r w:rsidRPr="00A15E9B">
              <w:rPr>
                <w:rFonts w:ascii="Calibri" w:eastAsia="Calibri" w:hAnsi="Calibri"/>
                <w:color w:val="000000"/>
              </w:rPr>
              <w:t xml:space="preserve">either quantitative or qualitative, of </w:t>
            </w:r>
            <w:r w:rsidR="004A1057">
              <w:rPr>
                <w:rFonts w:ascii="Calibri" w:eastAsia="Calibri" w:hAnsi="Calibri"/>
                <w:color w:val="000000"/>
              </w:rPr>
              <w:t xml:space="preserve">a </w:t>
            </w:r>
            <w:r w:rsidRPr="00A15E9B">
              <w:rPr>
                <w:rFonts w:ascii="Calibri" w:eastAsia="Calibri" w:hAnsi="Calibri"/>
                <w:color w:val="000000"/>
              </w:rPr>
              <w:t>resource or related</w:t>
            </w:r>
            <w:proofErr w:type="gramEnd"/>
            <w:r w:rsidRPr="00A15E9B">
              <w:rPr>
                <w:rFonts w:ascii="Calibri" w:eastAsia="Calibri" w:hAnsi="Calibri"/>
                <w:color w:val="000000"/>
              </w:rPr>
              <w:t xml:space="preserve"> distribution investment.</w:t>
            </w:r>
          </w:p>
          <w:p w14:paraId="0C28AFFC" w14:textId="6E26508B"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“Interim performance period” means either of the following periods: (a) from January 1, 2022, until December 31, 2025, and (b) from January 1, 2026, until December 31, 2029.</w:t>
            </w:r>
          </w:p>
          <w:p w14:paraId="47040B22" w14:textId="4EECCFDE" w:rsidR="008277FB"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“Interim target” means a target established in compliance with RCW 19.405.060(2</w:t>
            </w:r>
            <w:proofErr w:type="gramStart"/>
            <w:r>
              <w:rPr>
                <w:rFonts w:ascii="Calibri" w:eastAsia="Calibri" w:hAnsi="Calibri"/>
                <w:color w:val="000000"/>
              </w:rPr>
              <w:t>)(</w:t>
            </w:r>
            <w:proofErr w:type="gramEnd"/>
            <w:r>
              <w:rPr>
                <w:rFonts w:ascii="Calibri" w:eastAsia="Calibri" w:hAnsi="Calibri"/>
                <w:color w:val="000000"/>
              </w:rPr>
              <w:t>a)(</w:t>
            </w:r>
            <w:proofErr w:type="spellStart"/>
            <w:r>
              <w:rPr>
                <w:rFonts w:ascii="Calibri" w:eastAsia="Calibri" w:hAnsi="Calibri"/>
                <w:color w:val="000000"/>
              </w:rPr>
              <w:t>i</w:t>
            </w:r>
            <w:proofErr w:type="spellEnd"/>
            <w:r>
              <w:rPr>
                <w:rFonts w:ascii="Calibri" w:eastAsia="Calibri" w:hAnsi="Calibri"/>
                <w:color w:val="000000"/>
              </w:rPr>
              <w:t>). An interim target may cover an interim performance period or a GHG neutral compliance period.</w:t>
            </w:r>
          </w:p>
          <w:p w14:paraId="2208C4A5" w14:textId="77777777" w:rsidR="00B139DE" w:rsidRDefault="00B139DE" w:rsidP="00D158E6">
            <w:pPr>
              <w:spacing w:line="312" w:lineRule="exact"/>
              <w:ind w:right="144"/>
              <w:textAlignment w:val="baseline"/>
              <w:rPr>
                <w:rFonts w:ascii="Calibri" w:eastAsia="Calibri" w:hAnsi="Calibri"/>
                <w:color w:val="000000"/>
              </w:rPr>
            </w:pPr>
            <w:r>
              <w:rPr>
                <w:rFonts w:ascii="Calibri" w:eastAsia="Calibri" w:hAnsi="Calibri"/>
                <w:color w:val="000000"/>
              </w:rPr>
              <w:t>&lt;&gt; “Retail revenue requirement” means that portion of a utility's annual budget approved by its governing body that is intended to be recovered through retail electricity sales in the state of Washington in the applicable year. It includes revenues from any retail rate or charge that is necessary to receive electric service from the utility and does not include the effect of taxes imposed directly on retail customers.</w:t>
            </w:r>
          </w:p>
          <w:p w14:paraId="456CAFA7" w14:textId="6DEF5CB9" w:rsidR="00B139DE" w:rsidRPr="00D158E6" w:rsidRDefault="00B139DE" w:rsidP="004A1057">
            <w:pPr>
              <w:spacing w:line="312" w:lineRule="exact"/>
              <w:ind w:right="144"/>
              <w:textAlignment w:val="baseline"/>
              <w:rPr>
                <w:rFonts w:ascii="Calibri" w:eastAsia="Calibri" w:hAnsi="Calibri"/>
                <w:color w:val="000000"/>
              </w:rPr>
            </w:pPr>
            <w:r>
              <w:rPr>
                <w:rFonts w:ascii="Calibri" w:eastAsia="Calibri" w:hAnsi="Calibri"/>
                <w:color w:val="000000"/>
              </w:rPr>
              <w:t xml:space="preserve">&lt;&gt; "Verification protocol" means a procedure or method used, consistent with industry standards, to establish with reasonable certainty that a conservation, energy efficiency, or demand response measure was installed and is in service. Industry standards include a range of appropriate protocols reflecting a balance of cost and accuracy, such as tracking installation of measures through incentive payments and the use of on-site inspection of measures installed as part of a customer-specific project. </w:t>
            </w:r>
          </w:p>
        </w:tc>
      </w:tr>
      <w:tr w:rsidR="00B139DE" w14:paraId="2008CF5A" w14:textId="77777777" w:rsidTr="007248F0">
        <w:tc>
          <w:tcPr>
            <w:tcW w:w="9715" w:type="dxa"/>
            <w:shd w:val="clear" w:color="auto" w:fill="auto"/>
          </w:tcPr>
          <w:p w14:paraId="113C814B" w14:textId="08844212" w:rsidR="00B139DE" w:rsidRDefault="00B139DE" w:rsidP="00D158E6">
            <w:pPr>
              <w:spacing w:before="277" w:line="232" w:lineRule="exact"/>
              <w:textAlignment w:val="baseline"/>
              <w:rPr>
                <w:rFonts w:ascii="Calibri" w:eastAsia="Calibri" w:hAnsi="Calibri"/>
                <w:b/>
                <w:color w:val="000000"/>
                <w:spacing w:val="-3"/>
                <w:sz w:val="23"/>
              </w:rPr>
            </w:pPr>
            <w:r>
              <w:rPr>
                <w:rFonts w:ascii="Calibri" w:eastAsia="Calibri" w:hAnsi="Calibri"/>
                <w:b/>
                <w:color w:val="000000"/>
                <w:spacing w:val="-3"/>
                <w:sz w:val="23"/>
              </w:rPr>
              <w:lastRenderedPageBreak/>
              <w:t>194-40-040 – Performance and compliance reporting for the GHG Neutral Standard</w:t>
            </w:r>
            <w:r>
              <w:rPr>
                <w:rFonts w:ascii="Calibri" w:eastAsia="Calibri" w:hAnsi="Calibri"/>
                <w:color w:val="000000"/>
                <w:spacing w:val="-3"/>
              </w:rPr>
              <w:t xml:space="preserve"> [Sec. 19.405.100(4)]</w:t>
            </w:r>
            <w:r w:rsidR="00C70A2D">
              <w:rPr>
                <w:rStyle w:val="FootnoteReference"/>
                <w:rFonts w:ascii="Calibri" w:eastAsia="Calibri" w:hAnsi="Calibri"/>
                <w:color w:val="000000"/>
                <w:spacing w:val="-3"/>
              </w:rPr>
              <w:footnoteReference w:id="1"/>
            </w:r>
          </w:p>
          <w:p w14:paraId="5938DC08" w14:textId="7766C232" w:rsidR="00B139DE" w:rsidRDefault="00B139DE" w:rsidP="00D158E6">
            <w:pPr>
              <w:numPr>
                <w:ilvl w:val="0"/>
                <w:numId w:val="1"/>
              </w:numPr>
              <w:tabs>
                <w:tab w:val="clear" w:pos="360"/>
                <w:tab w:val="left" w:pos="720"/>
              </w:tabs>
              <w:spacing w:before="199" w:line="308" w:lineRule="exact"/>
              <w:ind w:left="720" w:right="576" w:hanging="360"/>
              <w:textAlignment w:val="baseline"/>
              <w:rPr>
                <w:rFonts w:ascii="Calibri" w:eastAsia="Calibri" w:hAnsi="Calibri"/>
                <w:color w:val="000000"/>
              </w:rPr>
            </w:pPr>
            <w:r>
              <w:rPr>
                <w:rFonts w:ascii="Calibri" w:eastAsia="Calibri" w:hAnsi="Calibri"/>
                <w:color w:val="000000"/>
              </w:rPr>
              <w:t xml:space="preserve">Each </w:t>
            </w:r>
            <w:r w:rsidR="004A1057">
              <w:rPr>
                <w:rFonts w:ascii="Calibri" w:eastAsia="Calibri" w:hAnsi="Calibri"/>
                <w:color w:val="000000"/>
              </w:rPr>
              <w:t xml:space="preserve">consumer-owned utility and each investor-owned </w:t>
            </w:r>
            <w:r>
              <w:rPr>
                <w:rFonts w:ascii="Calibri" w:eastAsia="Calibri" w:hAnsi="Calibri"/>
                <w:color w:val="000000"/>
              </w:rPr>
              <w:t>utility must submit an interim performance report by July 1, 2026, and by July 1, 2030, documenting the utility’s progress during the prior interim performance period in reaching compliance with the GHG Neutral Standard beginning in 2030.</w:t>
            </w:r>
          </w:p>
          <w:p w14:paraId="755E0B2D" w14:textId="1E07F9CF" w:rsidR="00B139DE" w:rsidRDefault="00B139DE" w:rsidP="00D158E6">
            <w:pPr>
              <w:numPr>
                <w:ilvl w:val="0"/>
                <w:numId w:val="1"/>
              </w:numPr>
              <w:tabs>
                <w:tab w:val="clear" w:pos="360"/>
                <w:tab w:val="left" w:pos="720"/>
              </w:tabs>
              <w:spacing w:before="3" w:line="308" w:lineRule="exact"/>
              <w:ind w:left="720" w:hanging="360"/>
              <w:textAlignment w:val="baseline"/>
              <w:rPr>
                <w:rFonts w:ascii="Calibri" w:eastAsia="Calibri" w:hAnsi="Calibri"/>
                <w:color w:val="000000"/>
              </w:rPr>
            </w:pPr>
            <w:r>
              <w:rPr>
                <w:rFonts w:ascii="Calibri" w:eastAsia="Calibri" w:hAnsi="Calibri"/>
                <w:color w:val="000000"/>
              </w:rPr>
              <w:t xml:space="preserve">Each </w:t>
            </w:r>
            <w:r w:rsidR="004A1057">
              <w:rPr>
                <w:rFonts w:ascii="Calibri" w:eastAsia="Calibri" w:hAnsi="Calibri"/>
                <w:color w:val="000000"/>
              </w:rPr>
              <w:t xml:space="preserve">consumer-owned utility and each investor-owned </w:t>
            </w:r>
            <w:r>
              <w:rPr>
                <w:rFonts w:ascii="Calibri" w:eastAsia="Calibri" w:hAnsi="Calibri"/>
                <w:color w:val="000000"/>
              </w:rPr>
              <w:t>utility must submit a compliance report by July 1, 2034, and within six months of the end of each subsequent GHG neutral compliance period, documenting the utility’s compliance with the GHG Neutral Standard during the GHG neutral compliance period and its progress in reaching compliance with the 100% Clean Electricity Standard beginning in 2045.</w:t>
            </w:r>
          </w:p>
          <w:p w14:paraId="0A9C81DD" w14:textId="33073C49" w:rsidR="005439B1" w:rsidRDefault="005439B1" w:rsidP="00D158E6">
            <w:pPr>
              <w:numPr>
                <w:ilvl w:val="0"/>
                <w:numId w:val="1"/>
              </w:numPr>
              <w:tabs>
                <w:tab w:val="clear" w:pos="360"/>
                <w:tab w:val="left" w:pos="720"/>
              </w:tabs>
              <w:spacing w:before="3" w:line="308" w:lineRule="exact"/>
              <w:ind w:left="720" w:hanging="360"/>
              <w:textAlignment w:val="baseline"/>
              <w:rPr>
                <w:rFonts w:ascii="Calibri" w:eastAsia="Calibri" w:hAnsi="Calibri"/>
                <w:color w:val="000000"/>
              </w:rPr>
            </w:pPr>
            <w:r>
              <w:rPr>
                <w:rFonts w:ascii="Calibri" w:eastAsia="Calibri" w:hAnsi="Calibri"/>
                <w:color w:val="000000"/>
              </w:rPr>
              <w:t xml:space="preserve">Each </w:t>
            </w:r>
            <w:r w:rsidR="004A1057">
              <w:rPr>
                <w:rFonts w:ascii="Calibri" w:eastAsia="Calibri" w:hAnsi="Calibri"/>
                <w:color w:val="000000"/>
              </w:rPr>
              <w:t xml:space="preserve">consumer-owned utility and each investor-owned </w:t>
            </w:r>
            <w:r>
              <w:rPr>
                <w:rFonts w:ascii="Calibri" w:eastAsia="Calibri" w:hAnsi="Calibri"/>
                <w:color w:val="000000"/>
              </w:rPr>
              <w:t>utility must submit a compliance report by July 1, 2046, and by July 1 of each year thereafter, documenting the utility’s compliance with the 100% Clean Electricity Standard.</w:t>
            </w:r>
          </w:p>
          <w:p w14:paraId="33DFA93F" w14:textId="588A9010" w:rsidR="00B139DE" w:rsidRDefault="00B139DE" w:rsidP="00D158E6">
            <w:pPr>
              <w:numPr>
                <w:ilvl w:val="0"/>
                <w:numId w:val="1"/>
              </w:numPr>
              <w:tabs>
                <w:tab w:val="clear" w:pos="360"/>
                <w:tab w:val="left" w:pos="720"/>
              </w:tabs>
              <w:spacing w:before="2" w:line="308" w:lineRule="exact"/>
              <w:ind w:left="720" w:right="288" w:hanging="360"/>
              <w:textAlignment w:val="baseline"/>
              <w:rPr>
                <w:rFonts w:ascii="Calibri" w:eastAsia="Calibri" w:hAnsi="Calibri"/>
                <w:color w:val="000000"/>
              </w:rPr>
            </w:pPr>
            <w:r>
              <w:rPr>
                <w:rFonts w:ascii="Calibri" w:eastAsia="Calibri" w:hAnsi="Calibri"/>
                <w:color w:val="000000"/>
              </w:rPr>
              <w:t xml:space="preserve">Each report required </w:t>
            </w:r>
            <w:r w:rsidR="004A1057">
              <w:rPr>
                <w:rFonts w:ascii="Calibri" w:eastAsia="Calibri" w:hAnsi="Calibri"/>
                <w:color w:val="000000"/>
              </w:rPr>
              <w:t>under subsections (1) and (2)</w:t>
            </w:r>
            <w:r>
              <w:rPr>
                <w:rFonts w:ascii="Calibri" w:eastAsia="Calibri" w:hAnsi="Calibri"/>
                <w:color w:val="000000"/>
              </w:rPr>
              <w:t xml:space="preserve"> must be submitted using a form provided by Commerce and must include the following information about compliance during the relevant interim performance period or GHG neutral compliance period:</w:t>
            </w:r>
          </w:p>
          <w:p w14:paraId="266C9EF2" w14:textId="30CC67DA"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 xml:space="preserve">(a) The amount of renewable resources and </w:t>
            </w:r>
            <w:proofErr w:type="spellStart"/>
            <w:r>
              <w:rPr>
                <w:rFonts w:ascii="Calibri" w:eastAsia="Calibri" w:hAnsi="Calibri"/>
                <w:color w:val="000000"/>
              </w:rPr>
              <w:t>nonemitting</w:t>
            </w:r>
            <w:proofErr w:type="spellEnd"/>
            <w:r>
              <w:rPr>
                <w:rFonts w:ascii="Calibri" w:eastAsia="Calibri" w:hAnsi="Calibri"/>
                <w:color w:val="000000"/>
              </w:rPr>
              <w:t xml:space="preserve"> electric generation used during the period, as a percentage of retail electric loads, compared to the target amount established and reported in the CEIP of the utility for that period.</w:t>
            </w:r>
          </w:p>
          <w:p w14:paraId="301A6136" w14:textId="03511DFE"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(b) The amount of conservation and energy efficiency resources acquired during the period, compared to the target amount established and reported in the CEIP of the utility for that period.</w:t>
            </w:r>
          </w:p>
          <w:p w14:paraId="7F103067" w14:textId="5AC4B41C"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(c) The amount of demand response resources acquired during the period, compared to the target amount established and reported in the CEIP of the utility for that period.</w:t>
            </w:r>
          </w:p>
          <w:p w14:paraId="2B1DCCD1" w14:textId="74F0E228"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 xml:space="preserve">(d) The amount of electricity used from renewable resources, as a percentage of retail electric loads over the period, compared to the target amount established and reported in the CEIP of the utility for that period. </w:t>
            </w:r>
          </w:p>
          <w:p w14:paraId="314728E5" w14:textId="3B66823D" w:rsidR="00B139DE" w:rsidRPr="00595FAA"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 xml:space="preserve">(e) The amount of electricity used from </w:t>
            </w:r>
            <w:proofErr w:type="spellStart"/>
            <w:r>
              <w:rPr>
                <w:rFonts w:ascii="Calibri" w:eastAsia="Calibri" w:hAnsi="Calibri"/>
                <w:color w:val="000000"/>
              </w:rPr>
              <w:t>nonemitting</w:t>
            </w:r>
            <w:proofErr w:type="spellEnd"/>
            <w:r>
              <w:rPr>
                <w:rFonts w:ascii="Calibri" w:eastAsia="Calibri" w:hAnsi="Calibri"/>
                <w:color w:val="000000"/>
              </w:rPr>
              <w:t xml:space="preserve"> resources, as a percentage of the utility’s retail electric loads over the period. </w:t>
            </w:r>
          </w:p>
          <w:p w14:paraId="11F8B129" w14:textId="025A0A86"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(f) Identification of any resources other than a renewable resource or energy storage acquired during the period and demonstration that the acquisition was consistent with the requirements of WAC 194-40-340.</w:t>
            </w:r>
          </w:p>
          <w:p w14:paraId="0CB12ED1" w14:textId="0E6B49AC"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(g) A detailed report of any use of each of the following alternative compliance options:</w:t>
            </w:r>
          </w:p>
          <w:p w14:paraId="045DAEE4" w14:textId="01D246A3" w:rsidR="00B139DE" w:rsidRDefault="00B139DE" w:rsidP="002A065A">
            <w:pPr>
              <w:tabs>
                <w:tab w:val="left" w:pos="360"/>
                <w:tab w:val="left" w:pos="2160"/>
              </w:tabs>
              <w:spacing w:before="81" w:line="226" w:lineRule="exact"/>
              <w:ind w:left="1440"/>
              <w:textAlignment w:val="baseline"/>
              <w:rPr>
                <w:rFonts w:ascii="Calibri" w:eastAsia="Calibri" w:hAnsi="Calibri"/>
                <w:color w:val="000000"/>
              </w:rPr>
            </w:pPr>
            <w:r>
              <w:rPr>
                <w:rFonts w:ascii="Calibri" w:eastAsia="Calibri" w:hAnsi="Calibri"/>
                <w:color w:val="000000"/>
              </w:rPr>
              <w:t>(</w:t>
            </w:r>
            <w:proofErr w:type="spellStart"/>
            <w:r>
              <w:rPr>
                <w:rFonts w:ascii="Calibri" w:eastAsia="Calibri" w:hAnsi="Calibri"/>
                <w:color w:val="000000"/>
              </w:rPr>
              <w:t>i</w:t>
            </w:r>
            <w:proofErr w:type="spellEnd"/>
            <w:r>
              <w:rPr>
                <w:rFonts w:ascii="Calibri" w:eastAsia="Calibri" w:hAnsi="Calibri"/>
                <w:color w:val="000000"/>
              </w:rPr>
              <w:t>) Alternative compliance payments.</w:t>
            </w:r>
          </w:p>
          <w:p w14:paraId="190B25B1" w14:textId="1D51C01A" w:rsidR="00B139DE" w:rsidRPr="009E05C0" w:rsidRDefault="00B139DE" w:rsidP="002A065A">
            <w:pPr>
              <w:tabs>
                <w:tab w:val="left" w:pos="360"/>
                <w:tab w:val="left" w:pos="2160"/>
              </w:tabs>
              <w:spacing w:before="7" w:line="308" w:lineRule="exact"/>
              <w:ind w:left="1440" w:right="432"/>
              <w:textAlignment w:val="baseline"/>
              <w:rPr>
                <w:rFonts w:ascii="Calibri" w:eastAsia="Calibri" w:hAnsi="Calibri"/>
                <w:color w:val="000000"/>
              </w:rPr>
            </w:pPr>
            <w:r>
              <w:rPr>
                <w:rFonts w:ascii="Calibri" w:eastAsia="Calibri" w:hAnsi="Calibri"/>
                <w:color w:val="000000"/>
              </w:rPr>
              <w:t xml:space="preserve">(ii) Unbundled renewable energy credits. </w:t>
            </w:r>
          </w:p>
          <w:p w14:paraId="5BB1A801" w14:textId="39BE3BAB" w:rsidR="00B139DE" w:rsidRDefault="00B139DE" w:rsidP="002A065A">
            <w:pPr>
              <w:tabs>
                <w:tab w:val="left" w:pos="360"/>
                <w:tab w:val="left" w:pos="2160"/>
              </w:tabs>
              <w:spacing w:before="81" w:line="226" w:lineRule="exact"/>
              <w:ind w:left="1440"/>
              <w:textAlignment w:val="baseline"/>
              <w:rPr>
                <w:rFonts w:ascii="Calibri" w:eastAsia="Calibri" w:hAnsi="Calibri"/>
                <w:color w:val="000000"/>
              </w:rPr>
            </w:pPr>
            <w:r>
              <w:rPr>
                <w:rFonts w:ascii="Calibri" w:eastAsia="Calibri" w:hAnsi="Calibri"/>
                <w:color w:val="000000"/>
              </w:rPr>
              <w:t>(iii) Credits from energy transformation projects.</w:t>
            </w:r>
          </w:p>
          <w:p w14:paraId="49870AC0" w14:textId="38579803" w:rsidR="00B139DE" w:rsidRDefault="00B139DE" w:rsidP="002A065A">
            <w:pPr>
              <w:tabs>
                <w:tab w:val="left" w:pos="360"/>
                <w:tab w:val="left" w:pos="2160"/>
              </w:tabs>
              <w:spacing w:line="308" w:lineRule="exact"/>
              <w:ind w:left="1440" w:right="576"/>
              <w:textAlignment w:val="baseline"/>
              <w:rPr>
                <w:rFonts w:ascii="Calibri" w:eastAsia="Calibri" w:hAnsi="Calibri"/>
                <w:color w:val="000000"/>
              </w:rPr>
            </w:pPr>
            <w:r>
              <w:rPr>
                <w:rFonts w:ascii="Calibri" w:eastAsia="Calibri" w:hAnsi="Calibri"/>
                <w:color w:val="000000"/>
              </w:rPr>
              <w:t>(iv) Electricity from the Spokane municipal solid waste to energy facility (if it is determined to provide a net reduction in GHG emissions).</w:t>
            </w:r>
          </w:p>
          <w:p w14:paraId="5CB4402A" w14:textId="46B9D572"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lastRenderedPageBreak/>
              <w:t>(h) Evidence relied on by the utility to demonstrate,  consistent with RCW 19.405.040(8) and the CEIP for the period, all customers are benefitting from the transition to clean energy through:</w:t>
            </w:r>
          </w:p>
          <w:p w14:paraId="6737AB82" w14:textId="79AA0832" w:rsidR="00B139DE" w:rsidRDefault="00B139DE" w:rsidP="00B25512">
            <w:pPr>
              <w:tabs>
                <w:tab w:val="left" w:pos="360"/>
                <w:tab w:val="left" w:pos="2232"/>
              </w:tabs>
              <w:spacing w:before="86" w:line="226" w:lineRule="exact"/>
              <w:ind w:left="1440"/>
              <w:textAlignment w:val="baseline"/>
              <w:rPr>
                <w:rFonts w:ascii="Calibri" w:eastAsia="Calibri" w:hAnsi="Calibri"/>
                <w:color w:val="000000"/>
              </w:rPr>
            </w:pPr>
            <w:r>
              <w:rPr>
                <w:rFonts w:ascii="Calibri" w:eastAsia="Calibri" w:hAnsi="Calibri"/>
                <w:color w:val="000000"/>
              </w:rPr>
              <w:t>(</w:t>
            </w:r>
            <w:proofErr w:type="spellStart"/>
            <w:r>
              <w:rPr>
                <w:rFonts w:ascii="Calibri" w:eastAsia="Calibri" w:hAnsi="Calibri"/>
                <w:color w:val="000000"/>
              </w:rPr>
              <w:t>i</w:t>
            </w:r>
            <w:proofErr w:type="spellEnd"/>
            <w:r>
              <w:rPr>
                <w:rFonts w:ascii="Calibri" w:eastAsia="Calibri" w:hAnsi="Calibri"/>
                <w:color w:val="000000"/>
              </w:rPr>
              <w:t>) The equitable distribution of energy and non-energy benefits</w:t>
            </w:r>
            <w:r w:rsidR="00B25512">
              <w:rPr>
                <w:rFonts w:ascii="Calibri" w:eastAsia="Calibri" w:hAnsi="Calibri"/>
                <w:color w:val="000000"/>
              </w:rPr>
              <w:t xml:space="preserve"> and r</w:t>
            </w:r>
            <w:r>
              <w:rPr>
                <w:rFonts w:ascii="Calibri" w:eastAsia="Calibri" w:hAnsi="Calibri"/>
                <w:color w:val="000000"/>
              </w:rPr>
              <w:t>eduction of burdens to vulnerable populations and highly impacted communities;</w:t>
            </w:r>
          </w:p>
          <w:p w14:paraId="5DBB87B2" w14:textId="021C1C50" w:rsidR="00B139DE" w:rsidRDefault="00B139DE" w:rsidP="00B95C3E">
            <w:pPr>
              <w:tabs>
                <w:tab w:val="left" w:pos="360"/>
                <w:tab w:val="left" w:pos="2232"/>
              </w:tabs>
              <w:spacing w:before="1" w:line="309" w:lineRule="exact"/>
              <w:ind w:left="1440" w:right="648"/>
              <w:textAlignment w:val="baseline"/>
              <w:rPr>
                <w:rFonts w:ascii="Calibri" w:eastAsia="Calibri" w:hAnsi="Calibri"/>
                <w:color w:val="000000"/>
              </w:rPr>
            </w:pPr>
            <w:r>
              <w:rPr>
                <w:rFonts w:ascii="Calibri" w:eastAsia="Calibri" w:hAnsi="Calibri"/>
                <w:color w:val="000000"/>
              </w:rPr>
              <w:t xml:space="preserve">(ii) </w:t>
            </w:r>
            <w:r w:rsidR="00B25512">
              <w:rPr>
                <w:rFonts w:ascii="Calibri" w:eastAsia="Calibri" w:hAnsi="Calibri"/>
                <w:color w:val="000000"/>
              </w:rPr>
              <w:t>Long</w:t>
            </w:r>
            <w:r>
              <w:rPr>
                <w:rFonts w:ascii="Calibri" w:eastAsia="Calibri" w:hAnsi="Calibri"/>
                <w:color w:val="000000"/>
              </w:rPr>
              <w:t>-term and short-term public health and environmental benefits and reduction of costs and risks; and</w:t>
            </w:r>
          </w:p>
          <w:p w14:paraId="7E519FF6" w14:textId="0B76CDC8" w:rsidR="00B139DE" w:rsidRDefault="00B139DE" w:rsidP="00B95C3E">
            <w:pPr>
              <w:tabs>
                <w:tab w:val="left" w:pos="360"/>
                <w:tab w:val="left" w:pos="2232"/>
              </w:tabs>
              <w:spacing w:before="82" w:line="227" w:lineRule="exact"/>
              <w:ind w:left="1440"/>
              <w:textAlignment w:val="baseline"/>
              <w:rPr>
                <w:rFonts w:ascii="Calibri" w:eastAsia="Calibri" w:hAnsi="Calibri"/>
                <w:color w:val="000000"/>
              </w:rPr>
            </w:pPr>
            <w:r>
              <w:rPr>
                <w:rFonts w:ascii="Calibri" w:eastAsia="Calibri" w:hAnsi="Calibri"/>
                <w:color w:val="000000"/>
              </w:rPr>
              <w:t>(i</w:t>
            </w:r>
            <w:r w:rsidR="00B25512">
              <w:rPr>
                <w:rFonts w:ascii="Calibri" w:eastAsia="Calibri" w:hAnsi="Calibri"/>
                <w:color w:val="000000"/>
              </w:rPr>
              <w:t>ii</w:t>
            </w:r>
            <w:r>
              <w:rPr>
                <w:rFonts w:ascii="Calibri" w:eastAsia="Calibri" w:hAnsi="Calibri"/>
                <w:color w:val="000000"/>
              </w:rPr>
              <w:t>) Energy security and resiliency.</w:t>
            </w:r>
          </w:p>
          <w:p w14:paraId="2694A806" w14:textId="67C12548" w:rsidR="00B25512" w:rsidRDefault="00B25512" w:rsidP="00B137F9">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w:t>
            </w:r>
            <w:proofErr w:type="spellStart"/>
            <w:r>
              <w:rPr>
                <w:rFonts w:ascii="Calibri" w:eastAsia="Calibri" w:hAnsi="Calibri"/>
                <w:color w:val="000000"/>
              </w:rPr>
              <w:t>i</w:t>
            </w:r>
            <w:proofErr w:type="spellEnd"/>
            <w:r>
              <w:rPr>
                <w:rFonts w:ascii="Calibri" w:eastAsia="Calibri" w:hAnsi="Calibri"/>
                <w:color w:val="000000"/>
              </w:rPr>
              <w:t xml:space="preserve">) </w:t>
            </w:r>
            <w:r w:rsidR="00B137F9">
              <w:rPr>
                <w:rFonts w:ascii="Calibri" w:eastAsia="Calibri" w:hAnsi="Calibri"/>
                <w:color w:val="000000"/>
              </w:rPr>
              <w:t>A description of</w:t>
            </w:r>
            <w:r>
              <w:rPr>
                <w:rFonts w:ascii="Calibri" w:eastAsia="Calibri" w:hAnsi="Calibri"/>
                <w:color w:val="000000"/>
              </w:rPr>
              <w:t xml:space="preserve"> each indicator established in the CEIP and an explanation of how</w:t>
            </w:r>
            <w:r w:rsidRPr="00C80073">
              <w:rPr>
                <w:rFonts w:ascii="Calibri" w:eastAsia="Calibri" w:hAnsi="Calibri"/>
                <w:color w:val="000000"/>
              </w:rPr>
              <w:t xml:space="preserve"> the specific actions</w:t>
            </w:r>
            <w:r>
              <w:rPr>
                <w:rFonts w:ascii="Calibri" w:eastAsia="Calibri" w:hAnsi="Calibri"/>
                <w:color w:val="000000"/>
              </w:rPr>
              <w:t xml:space="preserve"> taken by the utility</w:t>
            </w:r>
            <w:r w:rsidRPr="00C80073">
              <w:rPr>
                <w:rFonts w:ascii="Calibri" w:eastAsia="Calibri" w:hAnsi="Calibri"/>
                <w:color w:val="000000"/>
              </w:rPr>
              <w:t xml:space="preserve"> are consistent</w:t>
            </w:r>
            <w:r>
              <w:rPr>
                <w:rFonts w:ascii="Calibri" w:eastAsia="Calibri" w:hAnsi="Calibri"/>
                <w:color w:val="000000"/>
              </w:rPr>
              <w:t xml:space="preserve"> with</w:t>
            </w:r>
            <w:r w:rsidRPr="00C80073">
              <w:rPr>
                <w:rFonts w:ascii="Calibri" w:eastAsia="Calibri" w:hAnsi="Calibri"/>
                <w:color w:val="000000"/>
              </w:rPr>
              <w:t xml:space="preserve"> the requirements in </w:t>
            </w:r>
            <w:r>
              <w:rPr>
                <w:rFonts w:ascii="Calibri" w:eastAsia="Calibri" w:hAnsi="Calibri"/>
                <w:color w:val="000000"/>
              </w:rPr>
              <w:t xml:space="preserve">RCW 19.405.040(8), including </w:t>
            </w:r>
            <w:r w:rsidRPr="00C80073">
              <w:rPr>
                <w:rFonts w:ascii="Calibri" w:eastAsia="Calibri" w:hAnsi="Calibri"/>
                <w:color w:val="000000"/>
              </w:rPr>
              <w:t>an analysis that the</w:t>
            </w:r>
            <w:r>
              <w:rPr>
                <w:rFonts w:ascii="Calibri" w:eastAsia="Calibri" w:hAnsi="Calibri"/>
                <w:color w:val="000000"/>
              </w:rPr>
              <w:t xml:space="preserve"> forecasted distribution of</w:t>
            </w:r>
            <w:r w:rsidRPr="00C80073">
              <w:rPr>
                <w:rFonts w:ascii="Calibri" w:eastAsia="Calibri" w:hAnsi="Calibri"/>
                <w:color w:val="000000"/>
              </w:rPr>
              <w:t xml:space="preserve"> benefits and reductions of burdens accrued or will reasonably accrue to intended customers, including highly impacted communities </w:t>
            </w:r>
            <w:r>
              <w:rPr>
                <w:rFonts w:ascii="Calibri" w:eastAsia="Calibri" w:hAnsi="Calibri"/>
                <w:color w:val="000000"/>
              </w:rPr>
              <w:t>and vulnerable populations</w:t>
            </w:r>
          </w:p>
          <w:p w14:paraId="1C729A94" w14:textId="0F9841E3" w:rsidR="00B139DE" w:rsidRDefault="00EF595B"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(j)</w:t>
            </w:r>
            <w:r w:rsidR="00B139DE">
              <w:rPr>
                <w:rFonts w:ascii="Calibri" w:eastAsia="Calibri" w:hAnsi="Calibri"/>
                <w:color w:val="000000"/>
              </w:rPr>
              <w:t xml:space="preserve"> For each specific action identified in the CEIP for the period, pursuant to WAC 194-40-200(1) and WAC 194-40-200(4), a summary of the actions taken and their results.</w:t>
            </w:r>
          </w:p>
          <w:p w14:paraId="73A0DD21" w14:textId="398E4A7E" w:rsidR="00B139DE" w:rsidRDefault="00EF595B" w:rsidP="00B95C3E">
            <w:pPr>
              <w:tabs>
                <w:tab w:val="left" w:pos="360"/>
                <w:tab w:val="left" w:pos="1440"/>
              </w:tabs>
              <w:spacing w:before="6" w:line="308" w:lineRule="exact"/>
              <w:ind w:left="1080" w:right="432"/>
              <w:textAlignment w:val="baseline"/>
              <w:rPr>
                <w:rFonts w:ascii="Calibri" w:eastAsia="Calibri" w:hAnsi="Calibri"/>
                <w:color w:val="000000"/>
              </w:rPr>
            </w:pPr>
            <w:proofErr w:type="gramStart"/>
            <w:r>
              <w:rPr>
                <w:rFonts w:ascii="Calibri" w:eastAsia="Calibri" w:hAnsi="Calibri"/>
                <w:color w:val="000000"/>
              </w:rPr>
              <w:t>(k)</w:t>
            </w:r>
            <w:r w:rsidR="00B139DE">
              <w:rPr>
                <w:rFonts w:ascii="Calibri" w:eastAsia="Calibri" w:hAnsi="Calibri"/>
                <w:color w:val="000000"/>
              </w:rPr>
              <w:t xml:space="preserve"> For any measurement of achievement reported under subsections</w:t>
            </w:r>
            <w:proofErr w:type="gramEnd"/>
            <w:r w:rsidR="00B139DE">
              <w:rPr>
                <w:rFonts w:ascii="Calibri" w:eastAsia="Calibri" w:hAnsi="Calibri"/>
                <w:color w:val="000000"/>
              </w:rPr>
              <w:t xml:space="preserve"> (a) through (e) that is less than the respective target established in the CEIP, an explanation of the variation from target and any intended actions to offset the variation in the next period.    </w:t>
            </w:r>
          </w:p>
          <w:p w14:paraId="7D50321F" w14:textId="77C031C1" w:rsidR="00B139DE" w:rsidRDefault="00B139DE" w:rsidP="00B95C3E">
            <w:pPr>
              <w:tabs>
                <w:tab w:val="left" w:pos="360"/>
                <w:tab w:val="left" w:pos="1440"/>
              </w:tabs>
              <w:spacing w:before="6" w:line="308" w:lineRule="exact"/>
              <w:ind w:left="1080" w:right="432"/>
              <w:textAlignment w:val="baseline"/>
              <w:rPr>
                <w:rFonts w:ascii="Calibri" w:eastAsia="Calibri" w:hAnsi="Calibri"/>
                <w:color w:val="000000"/>
              </w:rPr>
            </w:pPr>
            <w:r>
              <w:rPr>
                <w:rFonts w:ascii="Calibri" w:eastAsia="Calibri" w:hAnsi="Calibri"/>
                <w:color w:val="000000"/>
              </w:rPr>
              <w:t>(</w:t>
            </w:r>
            <w:r w:rsidR="00EF595B">
              <w:rPr>
                <w:rFonts w:ascii="Calibri" w:eastAsia="Calibri" w:hAnsi="Calibri"/>
                <w:color w:val="000000"/>
              </w:rPr>
              <w:t>l</w:t>
            </w:r>
            <w:r>
              <w:rPr>
                <w:rFonts w:ascii="Calibri" w:eastAsia="Calibri" w:hAnsi="Calibri"/>
                <w:color w:val="000000"/>
              </w:rPr>
              <w:t>) Any other information necessary to demonstrate compliance with the requirements of CETA that are applicable during the period.</w:t>
            </w:r>
          </w:p>
          <w:p w14:paraId="089FC846" w14:textId="77777777" w:rsidR="00B139DE" w:rsidRDefault="00B139DE" w:rsidP="00D158E6">
            <w:pPr>
              <w:spacing w:line="238" w:lineRule="exact"/>
              <w:textAlignment w:val="baseline"/>
              <w:rPr>
                <w:rFonts w:ascii="Calibri" w:eastAsia="Calibri" w:hAnsi="Calibri"/>
                <w:b/>
                <w:color w:val="000000"/>
                <w:spacing w:val="-2"/>
                <w:sz w:val="23"/>
              </w:rPr>
            </w:pPr>
          </w:p>
        </w:tc>
      </w:tr>
      <w:tr w:rsidR="00B139DE" w14:paraId="64AA2C53" w14:textId="77777777" w:rsidTr="007248F0">
        <w:tc>
          <w:tcPr>
            <w:tcW w:w="9715" w:type="dxa"/>
            <w:shd w:val="clear" w:color="auto" w:fill="auto"/>
          </w:tcPr>
          <w:p w14:paraId="0D078172" w14:textId="77777777" w:rsidR="00B139DE" w:rsidRDefault="00B139DE" w:rsidP="00D158E6">
            <w:pPr>
              <w:spacing w:before="279"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lastRenderedPageBreak/>
              <w:t xml:space="preserve">194-40-050 – Submission of clean energy implementation plan </w:t>
            </w:r>
            <w:r>
              <w:rPr>
                <w:rFonts w:ascii="Calibri" w:eastAsia="Calibri" w:hAnsi="Calibri"/>
                <w:color w:val="000000"/>
                <w:spacing w:val="-3"/>
              </w:rPr>
              <w:t>[19.405.060(2)]</w:t>
            </w:r>
          </w:p>
          <w:p w14:paraId="73FDAC68" w14:textId="2341BEA3" w:rsidR="00B139DE" w:rsidRDefault="00B139DE" w:rsidP="00D158E6">
            <w:pPr>
              <w:numPr>
                <w:ilvl w:val="0"/>
                <w:numId w:val="5"/>
              </w:numPr>
              <w:tabs>
                <w:tab w:val="clear" w:pos="360"/>
                <w:tab w:val="left" w:pos="792"/>
              </w:tabs>
              <w:spacing w:before="199" w:line="309" w:lineRule="exact"/>
              <w:ind w:left="792" w:right="360" w:hanging="360"/>
              <w:textAlignment w:val="baseline"/>
              <w:rPr>
                <w:rFonts w:ascii="Calibri" w:eastAsia="Calibri" w:hAnsi="Calibri"/>
                <w:color w:val="000000"/>
                <w:spacing w:val="-2"/>
              </w:rPr>
            </w:pPr>
            <w:r>
              <w:rPr>
                <w:rFonts w:ascii="Calibri" w:eastAsia="Calibri" w:hAnsi="Calibri"/>
                <w:color w:val="000000"/>
                <w:spacing w:val="-2"/>
              </w:rPr>
              <w:t>Each utility must submit by January 1, 2022, and every four years thereafter, a clean energy implementation plan (CEIP) for resources to be acquired and other actions to be undertaken during the next interim performance period or GHG neutral compliance period to comply with the GHG Neutral Standard and the 100% Electricity Clean Standard. The CEIP must be submitted using a form provided by Commerce.</w:t>
            </w:r>
          </w:p>
          <w:p w14:paraId="65CC023F" w14:textId="5095CCFB" w:rsidR="00B139DE" w:rsidRPr="00E454EE" w:rsidRDefault="00B139DE" w:rsidP="00C5127D">
            <w:pPr>
              <w:numPr>
                <w:ilvl w:val="0"/>
                <w:numId w:val="5"/>
              </w:numPr>
              <w:tabs>
                <w:tab w:val="left" w:pos="792"/>
              </w:tabs>
              <w:spacing w:line="308" w:lineRule="exact"/>
              <w:ind w:left="792" w:right="144" w:hanging="360"/>
              <w:textAlignment w:val="baseline"/>
              <w:rPr>
                <w:rFonts w:ascii="Calibri" w:eastAsia="Calibri" w:hAnsi="Calibri"/>
                <w:color w:val="000000"/>
              </w:rPr>
            </w:pPr>
            <w:r w:rsidRPr="00E454EE">
              <w:rPr>
                <w:rFonts w:ascii="Calibri" w:eastAsia="Calibri" w:hAnsi="Calibri"/>
                <w:color w:val="000000"/>
              </w:rPr>
              <w:t>Each utility must submit with its CEIP a summary of the public input process</w:t>
            </w:r>
            <w:r w:rsidR="00E454EE" w:rsidRPr="00E454EE">
              <w:rPr>
                <w:rFonts w:ascii="Calibri" w:eastAsia="Calibri" w:hAnsi="Calibri"/>
                <w:color w:val="000000"/>
              </w:rPr>
              <w:t xml:space="preserve"> conducted in compliance with WAC 194-40-220 and a description of how public comments were reflected in the specific actions under WAC 194-40-200(4) and other elements of the CEIP and the utility’s</w:t>
            </w:r>
            <w:r w:rsidR="00B14336" w:rsidRPr="00E454EE">
              <w:rPr>
                <w:rFonts w:ascii="Calibri" w:eastAsia="Calibri" w:hAnsi="Calibri"/>
                <w:color w:val="000000"/>
              </w:rPr>
              <w:t xml:space="preserve"> </w:t>
            </w:r>
            <w:r w:rsidRPr="00E454EE">
              <w:rPr>
                <w:rFonts w:ascii="Calibri" w:eastAsia="Calibri" w:hAnsi="Calibri"/>
                <w:color w:val="000000"/>
              </w:rPr>
              <w:t>supporting integrated resource plan or resource plan, as applicable.</w:t>
            </w:r>
          </w:p>
          <w:p w14:paraId="4D99BA90" w14:textId="77777777" w:rsidR="00B139DE" w:rsidRDefault="00B139DE" w:rsidP="00EF595B">
            <w:pPr>
              <w:tabs>
                <w:tab w:val="left" w:pos="360"/>
                <w:tab w:val="left" w:pos="792"/>
              </w:tabs>
              <w:spacing w:before="11" w:line="302" w:lineRule="exact"/>
              <w:ind w:left="792" w:right="288"/>
              <w:textAlignment w:val="baseline"/>
              <w:rPr>
                <w:rFonts w:ascii="Calibri" w:eastAsia="Calibri" w:hAnsi="Calibri"/>
                <w:b/>
                <w:color w:val="000000"/>
                <w:spacing w:val="-2"/>
                <w:sz w:val="23"/>
              </w:rPr>
            </w:pPr>
          </w:p>
        </w:tc>
      </w:tr>
      <w:tr w:rsidR="00B139DE" w14:paraId="7A0113CE" w14:textId="77777777" w:rsidTr="007248F0">
        <w:tc>
          <w:tcPr>
            <w:tcW w:w="9715" w:type="dxa"/>
            <w:shd w:val="clear" w:color="auto" w:fill="auto"/>
          </w:tcPr>
          <w:p w14:paraId="6F735161" w14:textId="77777777" w:rsidR="00B139DE" w:rsidRDefault="00B139DE" w:rsidP="00595FAA">
            <w:pPr>
              <w:textAlignment w:val="baseline"/>
              <w:rPr>
                <w:rFonts w:ascii="Calibri" w:eastAsia="Calibri" w:hAnsi="Calibri"/>
                <w:b/>
                <w:color w:val="000000"/>
                <w:spacing w:val="-3"/>
                <w:sz w:val="23"/>
              </w:rPr>
            </w:pPr>
            <w:r>
              <w:rPr>
                <w:rFonts w:ascii="Calibri" w:eastAsia="Calibri" w:hAnsi="Calibri"/>
                <w:b/>
                <w:color w:val="000000"/>
                <w:spacing w:val="-3"/>
                <w:sz w:val="23"/>
              </w:rPr>
              <w:t xml:space="preserve">194-40-060 – Reporting fuel mix and greenhouse gas emission </w:t>
            </w:r>
            <w:r>
              <w:rPr>
                <w:rFonts w:ascii="Calibri" w:eastAsia="Calibri" w:hAnsi="Calibri"/>
                <w:color w:val="000000"/>
                <w:spacing w:val="-3"/>
              </w:rPr>
              <w:t>[19.405.070(1)]</w:t>
            </w:r>
          </w:p>
          <w:p w14:paraId="3605DF4A" w14:textId="11FC64BC" w:rsidR="00B139DE" w:rsidRDefault="00B139DE" w:rsidP="00595FAA">
            <w:pPr>
              <w:numPr>
                <w:ilvl w:val="0"/>
                <w:numId w:val="6"/>
              </w:numPr>
              <w:tabs>
                <w:tab w:val="clear" w:pos="360"/>
                <w:tab w:val="left" w:pos="792"/>
              </w:tabs>
              <w:spacing w:before="196"/>
              <w:ind w:left="792" w:hanging="360"/>
              <w:textAlignment w:val="baseline"/>
              <w:rPr>
                <w:rFonts w:ascii="Calibri" w:eastAsia="Calibri" w:hAnsi="Calibri"/>
                <w:color w:val="000000"/>
              </w:rPr>
            </w:pPr>
            <w:r>
              <w:rPr>
                <w:rFonts w:ascii="Calibri" w:eastAsia="Calibri" w:hAnsi="Calibri"/>
                <w:color w:val="000000"/>
              </w:rPr>
              <w:t xml:space="preserve">Each </w:t>
            </w:r>
            <w:r w:rsidR="004A1057">
              <w:rPr>
                <w:rFonts w:ascii="Calibri" w:eastAsia="Calibri" w:hAnsi="Calibri"/>
                <w:color w:val="000000"/>
              </w:rPr>
              <w:t xml:space="preserve">consumer-owned utility and each investor-owned </w:t>
            </w:r>
            <w:r>
              <w:rPr>
                <w:rFonts w:ascii="Calibri" w:eastAsia="Calibri" w:hAnsi="Calibri"/>
                <w:color w:val="000000"/>
              </w:rPr>
              <w:t>utility must submit by July 1, 2021, and each year thereafter a fuel mix source and disposition report for the previous calendar year, consistent with RCW 19.29A.140, using a form provided by Commerce.</w:t>
            </w:r>
          </w:p>
          <w:p w14:paraId="1A53E6D6" w14:textId="1AB1381F" w:rsidR="00B139DE" w:rsidRDefault="00B139DE" w:rsidP="00595FAA">
            <w:pPr>
              <w:numPr>
                <w:ilvl w:val="0"/>
                <w:numId w:val="6"/>
              </w:numPr>
              <w:tabs>
                <w:tab w:val="clear" w:pos="360"/>
                <w:tab w:val="left" w:pos="792"/>
              </w:tabs>
              <w:spacing w:before="1"/>
              <w:ind w:left="792" w:right="360" w:hanging="360"/>
              <w:jc w:val="both"/>
              <w:textAlignment w:val="baseline"/>
              <w:rPr>
                <w:rFonts w:ascii="Calibri" w:eastAsia="Calibri" w:hAnsi="Calibri"/>
                <w:color w:val="000000"/>
              </w:rPr>
            </w:pPr>
            <w:r>
              <w:rPr>
                <w:rFonts w:ascii="Calibri" w:eastAsia="Calibri" w:hAnsi="Calibri"/>
                <w:color w:val="000000"/>
              </w:rPr>
              <w:t>Each utility must submit by July 1, 2021, and each year thereafter a greenhouse gas content calculation for the previous calendar year.</w:t>
            </w:r>
          </w:p>
          <w:p w14:paraId="1FCB6820" w14:textId="3909E235" w:rsidR="00B139DE" w:rsidRDefault="00B139DE" w:rsidP="00B95C3E">
            <w:pPr>
              <w:tabs>
                <w:tab w:val="left" w:pos="360"/>
                <w:tab w:val="left" w:pos="1512"/>
              </w:tabs>
              <w:spacing w:before="1"/>
              <w:ind w:left="1152" w:right="432"/>
              <w:textAlignment w:val="baseline"/>
              <w:rPr>
                <w:rFonts w:ascii="Calibri" w:eastAsia="Calibri" w:hAnsi="Calibri"/>
                <w:color w:val="000000"/>
              </w:rPr>
            </w:pPr>
            <w:r>
              <w:rPr>
                <w:rFonts w:ascii="Calibri" w:eastAsia="Calibri" w:hAnsi="Calibri"/>
                <w:color w:val="000000"/>
              </w:rPr>
              <w:t xml:space="preserve">(a) The greenhouse gas content calculation must be based on the quantities and fuel sources, including unspecified sources, of electricity identified in the source and disposition report required under subsection (1) and must include all generating </w:t>
            </w:r>
            <w:r>
              <w:rPr>
                <w:rFonts w:ascii="Calibri" w:eastAsia="Calibri" w:hAnsi="Calibri"/>
                <w:color w:val="000000"/>
              </w:rPr>
              <w:lastRenderedPageBreak/>
              <w:t>resources providing service to retail customers of that utility in Washington state, regardless of the location of the generating resource.</w:t>
            </w:r>
          </w:p>
          <w:p w14:paraId="596658EF" w14:textId="2A4B7E7A" w:rsidR="00B139DE" w:rsidRDefault="00B139DE" w:rsidP="00B95C3E">
            <w:pPr>
              <w:tabs>
                <w:tab w:val="left" w:pos="360"/>
                <w:tab w:val="left" w:pos="1512"/>
              </w:tabs>
              <w:spacing w:before="1"/>
              <w:ind w:left="1152"/>
              <w:textAlignment w:val="baseline"/>
              <w:rPr>
                <w:rFonts w:ascii="Calibri" w:eastAsia="Calibri" w:hAnsi="Calibri"/>
                <w:color w:val="000000"/>
              </w:rPr>
            </w:pPr>
            <w:r>
              <w:rPr>
                <w:rFonts w:ascii="Calibri" w:eastAsia="Calibri" w:hAnsi="Calibri"/>
                <w:color w:val="000000"/>
              </w:rPr>
              <w:t>(b) The greenhouse gas content calculation must comply with the calculation requirements established by the Department of Ecology in Chapter 173-444 WAC.</w:t>
            </w:r>
          </w:p>
          <w:p w14:paraId="466EA356" w14:textId="77777777" w:rsidR="00B139DE" w:rsidRDefault="00B139DE" w:rsidP="00595FAA">
            <w:pPr>
              <w:textAlignment w:val="baseline"/>
              <w:rPr>
                <w:rFonts w:ascii="Calibri" w:eastAsia="Calibri" w:hAnsi="Calibri"/>
                <w:b/>
                <w:color w:val="000000"/>
                <w:spacing w:val="-2"/>
                <w:sz w:val="23"/>
              </w:rPr>
            </w:pPr>
          </w:p>
        </w:tc>
      </w:tr>
      <w:tr w:rsidR="00B139DE" w14:paraId="6E33E520" w14:textId="77777777" w:rsidTr="007248F0">
        <w:tc>
          <w:tcPr>
            <w:tcW w:w="9715" w:type="dxa"/>
            <w:shd w:val="clear" w:color="auto" w:fill="auto"/>
          </w:tcPr>
          <w:p w14:paraId="1661BE8C" w14:textId="77777777" w:rsidR="00B139DE" w:rsidRDefault="00B139DE" w:rsidP="004D503C">
            <w:pPr>
              <w:textAlignment w:val="baseline"/>
              <w:rPr>
                <w:rFonts w:ascii="Calibri" w:eastAsia="Calibri" w:hAnsi="Calibri"/>
                <w:b/>
                <w:color w:val="000000"/>
                <w:spacing w:val="-3"/>
                <w:sz w:val="23"/>
              </w:rPr>
            </w:pPr>
            <w:r>
              <w:rPr>
                <w:rFonts w:ascii="Calibri" w:eastAsia="Calibri" w:hAnsi="Calibri"/>
                <w:b/>
                <w:color w:val="000000"/>
                <w:spacing w:val="-3"/>
                <w:sz w:val="23"/>
              </w:rPr>
              <w:lastRenderedPageBreak/>
              <w:t xml:space="preserve">194-40-110 – Methodologies to incorporate social cost of greenhouse gas emissions </w:t>
            </w:r>
            <w:r>
              <w:rPr>
                <w:rFonts w:ascii="Calibri" w:eastAsia="Calibri" w:hAnsi="Calibri"/>
                <w:color w:val="000000"/>
                <w:spacing w:val="-3"/>
              </w:rPr>
              <w:t>[19.280.030(3)]</w:t>
            </w:r>
          </w:p>
          <w:p w14:paraId="3ED7CC50" w14:textId="1BC2BD1A" w:rsidR="00B139DE" w:rsidRDefault="00B139DE" w:rsidP="004D503C">
            <w:pPr>
              <w:ind w:left="720" w:right="144" w:hanging="360"/>
              <w:textAlignment w:val="baseline"/>
              <w:rPr>
                <w:rFonts w:ascii="Calibri" w:eastAsia="Calibri" w:hAnsi="Calibri"/>
                <w:color w:val="000000"/>
              </w:rPr>
            </w:pPr>
            <w:r>
              <w:rPr>
                <w:rFonts w:ascii="Calibri" w:eastAsia="Calibri" w:hAnsi="Calibri"/>
                <w:color w:val="000000"/>
              </w:rPr>
              <w:t xml:space="preserve">(1) (a) Each utility that prepares an integrated resource plan under RCW 19.280.030(1) must incorporate the social cost of greenhouse gas emissions as a cost adder for all relevant inputs when evaluating and selecting conservation policies, programs, and targets; developing integrated resource plans,  and clean energy action plans; and evaluating and selecting intermediate term and long-term resource options. </w:t>
            </w:r>
          </w:p>
          <w:p w14:paraId="77C5EF87" w14:textId="7798AD6B" w:rsidR="00B139DE" w:rsidRDefault="00B139DE" w:rsidP="005221B5">
            <w:pPr>
              <w:ind w:left="1080" w:right="144" w:hanging="360"/>
              <w:textAlignment w:val="baseline"/>
              <w:rPr>
                <w:rFonts w:ascii="Calibri" w:eastAsia="Calibri" w:hAnsi="Calibri"/>
                <w:color w:val="000000"/>
              </w:rPr>
            </w:pPr>
            <w:r>
              <w:rPr>
                <w:rFonts w:ascii="Calibri" w:eastAsia="Calibri" w:hAnsi="Calibri"/>
                <w:color w:val="000000"/>
              </w:rPr>
              <w:t>(b) The greenhouse gas emissions cost adder must incorporate, to the extent feasible, all greenhouse gas emissions resulting from the generation of electricity using fossil fuels, including extraction, production, transmission, and combustion.</w:t>
            </w:r>
          </w:p>
          <w:p w14:paraId="7F82FF68" w14:textId="18DD5EFF" w:rsidR="00B139DE" w:rsidRDefault="00B139DE" w:rsidP="005221B5">
            <w:pPr>
              <w:ind w:left="1080" w:right="144" w:hanging="360"/>
              <w:textAlignment w:val="baseline"/>
              <w:rPr>
                <w:rFonts w:ascii="Calibri" w:eastAsia="Calibri" w:hAnsi="Calibri"/>
                <w:color w:val="000000"/>
              </w:rPr>
            </w:pPr>
            <w:r>
              <w:rPr>
                <w:rFonts w:ascii="Calibri" w:eastAsia="Calibri" w:hAnsi="Calibri"/>
                <w:color w:val="000000"/>
              </w:rPr>
              <w:t xml:space="preserve">(c) The greenhouse gas emissions cost adder </w:t>
            </w:r>
            <w:proofErr w:type="gramStart"/>
            <w:r>
              <w:rPr>
                <w:rFonts w:ascii="Calibri" w:eastAsia="Calibri" w:hAnsi="Calibri"/>
                <w:color w:val="000000"/>
              </w:rPr>
              <w:t>m</w:t>
            </w:r>
            <w:r w:rsidR="001B4105">
              <w:rPr>
                <w:rFonts w:ascii="Calibri" w:eastAsia="Calibri" w:hAnsi="Calibri"/>
                <w:color w:val="000000"/>
              </w:rPr>
              <w:t>ay</w:t>
            </w:r>
            <w:r>
              <w:rPr>
                <w:rFonts w:ascii="Calibri" w:eastAsia="Calibri" w:hAnsi="Calibri"/>
                <w:color w:val="000000"/>
              </w:rPr>
              <w:t xml:space="preserve"> be adjusted</w:t>
            </w:r>
            <w:proofErr w:type="gramEnd"/>
            <w:r>
              <w:rPr>
                <w:rFonts w:ascii="Calibri" w:eastAsia="Calibri" w:hAnsi="Calibri"/>
                <w:color w:val="000000"/>
              </w:rPr>
              <w:t xml:space="preserve"> to account for any explicit tax or fee on greenhouse gas emissions that is known or assumed in the resource analysis.</w:t>
            </w:r>
          </w:p>
          <w:p w14:paraId="5F8D323D" w14:textId="77777777" w:rsidR="00B139DE" w:rsidRDefault="00B139DE" w:rsidP="004D503C">
            <w:pPr>
              <w:ind w:left="720" w:right="576" w:hanging="360"/>
              <w:textAlignment w:val="baseline"/>
              <w:rPr>
                <w:rFonts w:ascii="Calibri" w:eastAsia="Calibri" w:hAnsi="Calibri"/>
                <w:color w:val="000000"/>
              </w:rPr>
            </w:pPr>
            <w:r>
              <w:rPr>
                <w:rFonts w:ascii="Calibri" w:eastAsia="Calibri" w:hAnsi="Calibri"/>
                <w:color w:val="000000"/>
              </w:rPr>
              <w:t>(2) A utility may comply with the requirements of subsection (1) by using one of the following analytical approaches, as appropriate and consistent with the utility’s overall analytical approach for resource planning, evaluation, and selection:</w:t>
            </w:r>
          </w:p>
          <w:p w14:paraId="46CD38EF" w14:textId="398F72EA" w:rsidR="00B139DE" w:rsidRDefault="00B139DE" w:rsidP="00B95C3E">
            <w:pPr>
              <w:tabs>
                <w:tab w:val="left" w:pos="360"/>
                <w:tab w:val="left" w:pos="1512"/>
              </w:tabs>
              <w:ind w:left="1152" w:right="144"/>
              <w:jc w:val="both"/>
              <w:textAlignment w:val="baseline"/>
              <w:rPr>
                <w:rFonts w:ascii="Calibri" w:eastAsia="Calibri" w:hAnsi="Calibri"/>
                <w:color w:val="000000"/>
              </w:rPr>
            </w:pPr>
            <w:r>
              <w:rPr>
                <w:rFonts w:ascii="Calibri" w:eastAsia="Calibri" w:hAnsi="Calibri"/>
                <w:color w:val="000000"/>
              </w:rPr>
              <w:t>(a) Performing a resource analysis in which it increases the input cost of each fossil fuel by an amount equal to the social cost of greenhouse gas emissions value of that fuel;</w:t>
            </w:r>
          </w:p>
          <w:p w14:paraId="4A0DFC72" w14:textId="1BE27D0B" w:rsidR="00B139DE" w:rsidRDefault="00B139DE" w:rsidP="00B95C3E">
            <w:pPr>
              <w:tabs>
                <w:tab w:val="left" w:pos="360"/>
                <w:tab w:val="left" w:pos="1512"/>
              </w:tabs>
              <w:spacing w:before="3"/>
              <w:ind w:left="1152" w:right="288"/>
              <w:textAlignment w:val="baseline"/>
              <w:rPr>
                <w:rFonts w:ascii="Calibri" w:eastAsia="Calibri" w:hAnsi="Calibri"/>
                <w:color w:val="000000"/>
              </w:rPr>
            </w:pPr>
            <w:r>
              <w:rPr>
                <w:rFonts w:ascii="Calibri" w:eastAsia="Calibri" w:hAnsi="Calibri"/>
                <w:color w:val="000000"/>
              </w:rPr>
              <w:t>(b) Conducting a resource analysis in which alternative resource portfolios are compared across multiple scenarios on the basis of cost, risk, and other relevant factors and the aggregate social cost of greenhouse gas emissions is included in the cost of each resource portfolio;</w:t>
            </w:r>
          </w:p>
          <w:p w14:paraId="159A702B" w14:textId="462AEDA0" w:rsidR="00B139DE" w:rsidRDefault="00B139DE" w:rsidP="00B95C3E">
            <w:pPr>
              <w:tabs>
                <w:tab w:val="left" w:pos="360"/>
                <w:tab w:val="left" w:pos="1512"/>
              </w:tabs>
              <w:ind w:left="1152" w:right="144"/>
              <w:textAlignment w:val="baseline"/>
              <w:rPr>
                <w:rFonts w:ascii="Calibri" w:eastAsia="Calibri" w:hAnsi="Calibri"/>
                <w:color w:val="000000"/>
                <w:spacing w:val="-2"/>
              </w:rPr>
            </w:pPr>
            <w:r>
              <w:rPr>
                <w:rFonts w:ascii="Calibri" w:eastAsia="Calibri" w:hAnsi="Calibri"/>
                <w:color w:val="000000"/>
                <w:spacing w:val="-2"/>
              </w:rPr>
              <w:t>(c) If the utility does not use a comprehensive resource portfolio evaluation and optimization approach: Adding the social cost of greenhouse gas emissions to the expected market price of electricity, using an estimate of the emissions rate of marginal generating resources; or</w:t>
            </w:r>
          </w:p>
          <w:p w14:paraId="60CDD16C" w14:textId="72280CB3" w:rsidR="00B139DE" w:rsidRDefault="00B139DE" w:rsidP="00B95C3E">
            <w:pPr>
              <w:tabs>
                <w:tab w:val="left" w:pos="360"/>
                <w:tab w:val="left" w:pos="1512"/>
              </w:tabs>
              <w:ind w:left="1152" w:right="432"/>
              <w:textAlignment w:val="baseline"/>
              <w:rPr>
                <w:rFonts w:ascii="Calibri" w:eastAsia="Calibri" w:hAnsi="Calibri"/>
                <w:color w:val="000000"/>
              </w:rPr>
            </w:pPr>
            <w:r>
              <w:rPr>
                <w:rFonts w:ascii="Calibri" w:eastAsia="Calibri" w:hAnsi="Calibri"/>
                <w:color w:val="000000"/>
              </w:rPr>
              <w:t>(d) Using another analytical approach that includes a comprehensive accounting of the difference in greenhouse gas emissions and social cost of greenhouse gas emissions between resource alternatives.</w:t>
            </w:r>
          </w:p>
          <w:p w14:paraId="52E81817" w14:textId="77777777" w:rsidR="00B139DE" w:rsidRDefault="00B139DE" w:rsidP="004D503C">
            <w:pPr>
              <w:spacing w:before="1"/>
              <w:ind w:left="720" w:right="144" w:hanging="360"/>
              <w:textAlignment w:val="baseline"/>
              <w:rPr>
                <w:rFonts w:ascii="Calibri" w:eastAsia="Calibri" w:hAnsi="Calibri"/>
                <w:color w:val="000000"/>
              </w:rPr>
            </w:pPr>
            <w:r>
              <w:rPr>
                <w:rFonts w:ascii="Calibri" w:eastAsia="Calibri" w:hAnsi="Calibri"/>
                <w:color w:val="000000"/>
              </w:rPr>
              <w:t>(3) Any methodology used to comply with this rule may assume that the social cost of greenhouse gas emissions cost adder does not affect short-term operations or dispatch decisions after energy resources are acquired and placed into service.</w:t>
            </w:r>
          </w:p>
          <w:p w14:paraId="2CF10DDD" w14:textId="230508C0" w:rsidR="00B139DE" w:rsidRDefault="00B139DE" w:rsidP="004D503C">
            <w:pPr>
              <w:spacing w:before="1"/>
              <w:ind w:left="720" w:hanging="360"/>
              <w:textAlignment w:val="baseline"/>
              <w:rPr>
                <w:rFonts w:ascii="Calibri" w:eastAsia="Calibri" w:hAnsi="Calibri"/>
                <w:color w:val="000000"/>
              </w:rPr>
            </w:pPr>
            <w:r>
              <w:rPr>
                <w:rFonts w:ascii="Calibri" w:eastAsia="Calibri" w:hAnsi="Calibri"/>
                <w:color w:val="000000"/>
              </w:rPr>
              <w:t xml:space="preserve">(4) Any methodology used to comply with this rule must ensure that the social cost of greenhouse gas emissions cost adder </w:t>
            </w:r>
            <w:proofErr w:type="gramStart"/>
            <w:r>
              <w:rPr>
                <w:rFonts w:ascii="Calibri" w:eastAsia="Calibri" w:hAnsi="Calibri"/>
                <w:color w:val="000000"/>
              </w:rPr>
              <w:t>is accounted for</w:t>
            </w:r>
            <w:proofErr w:type="gramEnd"/>
            <w:r>
              <w:rPr>
                <w:rFonts w:ascii="Calibri" w:eastAsia="Calibri" w:hAnsi="Calibri"/>
                <w:color w:val="000000"/>
              </w:rPr>
              <w:t xml:space="preserve"> without unreasonable duplication or double counting. </w:t>
            </w:r>
          </w:p>
          <w:p w14:paraId="36AD9327" w14:textId="77777777" w:rsidR="00B139DE" w:rsidRDefault="00B139DE" w:rsidP="004D503C">
            <w:pPr>
              <w:ind w:left="720" w:right="216" w:hanging="360"/>
              <w:textAlignment w:val="baseline"/>
              <w:rPr>
                <w:rFonts w:ascii="Calibri" w:eastAsia="Calibri" w:hAnsi="Calibri"/>
                <w:color w:val="000000"/>
              </w:rPr>
            </w:pPr>
            <w:r>
              <w:rPr>
                <w:rFonts w:ascii="Calibri" w:eastAsia="Calibri" w:hAnsi="Calibri"/>
                <w:color w:val="000000"/>
              </w:rPr>
              <w:t>(5) The social cost of greenhouse gas emissions values used to meet the requirements of this rule are specified in WAC 194-40-100.</w:t>
            </w:r>
          </w:p>
          <w:p w14:paraId="3BF31E07" w14:textId="77777777" w:rsidR="00B139DE" w:rsidRDefault="00B139DE" w:rsidP="004D503C">
            <w:pPr>
              <w:textAlignment w:val="baseline"/>
              <w:rPr>
                <w:rFonts w:ascii="Calibri" w:eastAsia="Calibri" w:hAnsi="Calibri"/>
                <w:b/>
                <w:color w:val="000000"/>
                <w:spacing w:val="-2"/>
                <w:sz w:val="23"/>
              </w:rPr>
            </w:pPr>
          </w:p>
        </w:tc>
      </w:tr>
      <w:tr w:rsidR="00B139DE" w14:paraId="7A2202D6" w14:textId="77777777" w:rsidTr="007248F0">
        <w:tc>
          <w:tcPr>
            <w:tcW w:w="9715" w:type="dxa"/>
            <w:shd w:val="clear" w:color="auto" w:fill="auto"/>
          </w:tcPr>
          <w:p w14:paraId="57E9F688" w14:textId="77777777" w:rsidR="00B139DE" w:rsidRPr="00087F0A" w:rsidRDefault="00B139DE" w:rsidP="00087F0A">
            <w:pPr>
              <w:textAlignment w:val="baseline"/>
              <w:rPr>
                <w:rFonts w:ascii="Calibri" w:eastAsia="Calibri" w:hAnsi="Calibri"/>
                <w:b/>
                <w:color w:val="000000"/>
                <w:spacing w:val="-3"/>
              </w:rPr>
            </w:pPr>
            <w:r w:rsidRPr="00087F0A">
              <w:rPr>
                <w:rFonts w:ascii="Calibri" w:eastAsia="Calibri" w:hAnsi="Calibri"/>
                <w:b/>
                <w:color w:val="000000"/>
                <w:spacing w:val="-3"/>
              </w:rPr>
              <w:t xml:space="preserve">WAC 194-40-200 – Clean energy implementation plan </w:t>
            </w:r>
            <w:r w:rsidRPr="005439B1">
              <w:rPr>
                <w:rFonts w:ascii="Calibri" w:eastAsia="Calibri" w:hAnsi="Calibri"/>
                <w:color w:val="000000"/>
                <w:spacing w:val="-3"/>
              </w:rPr>
              <w:t>[19.405.060]</w:t>
            </w:r>
          </w:p>
          <w:p w14:paraId="45A3ADA0" w14:textId="51C65F69" w:rsidR="00B139DE" w:rsidRPr="007C21F1" w:rsidRDefault="00B139DE" w:rsidP="00087F0A">
            <w:pPr>
              <w:spacing w:before="203"/>
              <w:ind w:left="720" w:right="288" w:hanging="360"/>
              <w:textAlignment w:val="baseline"/>
              <w:rPr>
                <w:rFonts w:ascii="Calibri" w:eastAsia="Calibri" w:hAnsi="Calibri"/>
                <w:color w:val="000000"/>
              </w:rPr>
            </w:pPr>
            <w:r w:rsidRPr="00087F0A">
              <w:rPr>
                <w:rFonts w:ascii="Calibri" w:eastAsia="Calibri" w:hAnsi="Calibri"/>
                <w:color w:val="000000"/>
              </w:rPr>
              <w:t xml:space="preserve">(1) </w:t>
            </w:r>
            <w:r w:rsidRPr="00087F0A">
              <w:rPr>
                <w:rFonts w:ascii="Calibri" w:eastAsia="Calibri" w:hAnsi="Calibri"/>
                <w:b/>
                <w:color w:val="000000"/>
              </w:rPr>
              <w:t xml:space="preserve">Specific actions. </w:t>
            </w:r>
            <w:r w:rsidRPr="00087F0A">
              <w:rPr>
                <w:rFonts w:ascii="Calibri" w:eastAsia="Calibri" w:hAnsi="Calibri"/>
                <w:color w:val="000000"/>
              </w:rPr>
              <w:t>Each utility must identify in each CEIP the specific actions to be taken by the utility during the next interim performance period or GHG neutral compliance period to demonstrate progress toward meeting the standards under RCW 19.405.040</w:t>
            </w:r>
            <w:r w:rsidRPr="007C21F1">
              <w:rPr>
                <w:rFonts w:ascii="Calibri" w:eastAsia="Calibri" w:hAnsi="Calibri"/>
                <w:color w:val="000000"/>
              </w:rPr>
              <w:t>(1) and 19.405.050(1) and the interim targets proposed under subsections (2) and (3).</w:t>
            </w:r>
            <w:r w:rsidR="00053853">
              <w:rPr>
                <w:rFonts w:ascii="Calibri" w:eastAsia="Calibri" w:hAnsi="Calibri"/>
                <w:color w:val="000000"/>
              </w:rPr>
              <w:t xml:space="preserve"> Specific actions must be consistent with the requirements of RCW 19.405.060(2</w:t>
            </w:r>
            <w:proofErr w:type="gramStart"/>
            <w:r w:rsidR="00053853">
              <w:rPr>
                <w:rFonts w:ascii="Calibri" w:eastAsia="Calibri" w:hAnsi="Calibri"/>
                <w:color w:val="000000"/>
              </w:rPr>
              <w:t>)(</w:t>
            </w:r>
            <w:proofErr w:type="gramEnd"/>
            <w:r w:rsidR="00053853">
              <w:rPr>
                <w:rFonts w:ascii="Calibri" w:eastAsia="Calibri" w:hAnsi="Calibri"/>
                <w:color w:val="000000"/>
              </w:rPr>
              <w:t>a)(iv).</w:t>
            </w:r>
            <w:r w:rsidRPr="005439B1">
              <w:t xml:space="preserve"> </w:t>
            </w:r>
          </w:p>
          <w:p w14:paraId="0DBCC5F4" w14:textId="42471E14" w:rsidR="00B139DE" w:rsidRPr="007C21F1" w:rsidRDefault="00B139DE" w:rsidP="00087F0A">
            <w:pPr>
              <w:spacing w:before="3"/>
              <w:ind w:left="720" w:right="504" w:hanging="360"/>
              <w:textAlignment w:val="baseline"/>
              <w:rPr>
                <w:rFonts w:ascii="Calibri" w:eastAsia="Calibri" w:hAnsi="Calibri"/>
                <w:color w:val="000000"/>
              </w:rPr>
            </w:pPr>
            <w:r w:rsidRPr="007C21F1">
              <w:rPr>
                <w:rFonts w:ascii="Calibri" w:eastAsia="Calibri" w:hAnsi="Calibri"/>
                <w:color w:val="000000"/>
              </w:rPr>
              <w:t xml:space="preserve">(2) </w:t>
            </w:r>
            <w:r w:rsidRPr="007C21F1">
              <w:rPr>
                <w:rFonts w:ascii="Calibri" w:eastAsia="Calibri" w:hAnsi="Calibri"/>
                <w:b/>
                <w:color w:val="000000"/>
              </w:rPr>
              <w:t xml:space="preserve">Interim target. </w:t>
            </w:r>
            <w:r w:rsidRPr="007C21F1">
              <w:rPr>
                <w:rFonts w:ascii="Calibri" w:eastAsia="Calibri" w:hAnsi="Calibri"/>
                <w:color w:val="000000"/>
              </w:rPr>
              <w:t xml:space="preserve">The CEIP must establish an interim target for the percentage of retail load to </w:t>
            </w:r>
            <w:proofErr w:type="gramStart"/>
            <w:r w:rsidRPr="007C21F1">
              <w:rPr>
                <w:rFonts w:ascii="Calibri" w:eastAsia="Calibri" w:hAnsi="Calibri"/>
                <w:color w:val="000000"/>
              </w:rPr>
              <w:t>be served</w:t>
            </w:r>
            <w:proofErr w:type="gramEnd"/>
            <w:r w:rsidRPr="007C21F1">
              <w:rPr>
                <w:rFonts w:ascii="Calibri" w:eastAsia="Calibri" w:hAnsi="Calibri"/>
                <w:color w:val="000000"/>
              </w:rPr>
              <w:t xml:space="preserve"> using renewable and </w:t>
            </w:r>
            <w:proofErr w:type="spellStart"/>
            <w:r w:rsidRPr="007C21F1">
              <w:rPr>
                <w:rFonts w:ascii="Calibri" w:eastAsia="Calibri" w:hAnsi="Calibri"/>
                <w:color w:val="000000"/>
              </w:rPr>
              <w:t>nonemitting</w:t>
            </w:r>
            <w:proofErr w:type="spellEnd"/>
            <w:r w:rsidRPr="007C21F1">
              <w:rPr>
                <w:rFonts w:ascii="Calibri" w:eastAsia="Calibri" w:hAnsi="Calibri"/>
                <w:color w:val="000000"/>
              </w:rPr>
              <w:t xml:space="preserve"> resources during the period covered by the CEIP. The interim target must demonstrate progress toward meeting the standards under </w:t>
            </w:r>
            <w:r w:rsidRPr="007C21F1">
              <w:rPr>
                <w:rFonts w:ascii="Calibri" w:eastAsia="Calibri" w:hAnsi="Calibri"/>
                <w:color w:val="000000"/>
              </w:rPr>
              <w:lastRenderedPageBreak/>
              <w:t>RCW 19.405.040(1) and RCW 19.405.050(1), if the utility is not already meeting the relevant standard.</w:t>
            </w:r>
          </w:p>
          <w:p w14:paraId="0ED42EE2" w14:textId="6583233A" w:rsidR="00B139DE" w:rsidRPr="007C21F1" w:rsidRDefault="00B139DE" w:rsidP="00087F0A">
            <w:pPr>
              <w:spacing w:before="3"/>
              <w:ind w:left="720" w:right="504" w:hanging="360"/>
              <w:textAlignment w:val="baseline"/>
              <w:rPr>
                <w:rFonts w:ascii="Calibri" w:eastAsia="Calibri" w:hAnsi="Calibri"/>
                <w:color w:val="000000"/>
                <w:spacing w:val="-3"/>
              </w:rPr>
            </w:pPr>
            <w:r w:rsidRPr="007C21F1">
              <w:rPr>
                <w:rFonts w:ascii="Calibri" w:eastAsia="Calibri" w:hAnsi="Calibri"/>
                <w:color w:val="000000"/>
                <w:spacing w:val="-3"/>
              </w:rPr>
              <w:t xml:space="preserve">(3) </w:t>
            </w:r>
            <w:r w:rsidRPr="007C21F1">
              <w:rPr>
                <w:rFonts w:ascii="Calibri" w:eastAsia="Calibri" w:hAnsi="Calibri"/>
                <w:b/>
                <w:color w:val="000000"/>
                <w:spacing w:val="-3"/>
              </w:rPr>
              <w:t xml:space="preserve">Specific targets. </w:t>
            </w:r>
            <w:r w:rsidRPr="007C21F1">
              <w:rPr>
                <w:rFonts w:ascii="Calibri" w:eastAsia="Calibri" w:hAnsi="Calibri"/>
                <w:color w:val="000000"/>
              </w:rPr>
              <w:t>The CEIP must establish specific targets, for the interim performance period or GHG neutral compliance period covered by the CEIP, for each of the following categories of resources:</w:t>
            </w:r>
          </w:p>
          <w:p w14:paraId="7D175968" w14:textId="72EB56BD" w:rsidR="00B139DE" w:rsidRPr="007C21F1" w:rsidRDefault="00B139DE" w:rsidP="00087F0A">
            <w:pPr>
              <w:tabs>
                <w:tab w:val="left" w:pos="360"/>
                <w:tab w:val="left" w:pos="1440"/>
              </w:tabs>
              <w:ind w:left="1080" w:right="72"/>
              <w:textAlignment w:val="baseline"/>
              <w:rPr>
                <w:rFonts w:ascii="Calibri" w:eastAsia="Calibri" w:hAnsi="Calibri"/>
                <w:b/>
                <w:color w:val="000000"/>
              </w:rPr>
            </w:pPr>
            <w:r w:rsidRPr="007C21F1">
              <w:rPr>
                <w:rFonts w:ascii="Calibri" w:eastAsia="Calibri" w:hAnsi="Calibri"/>
                <w:b/>
                <w:color w:val="000000"/>
              </w:rPr>
              <w:t xml:space="preserve">(a) Energy efficiency. </w:t>
            </w:r>
            <w:r w:rsidRPr="007C21F1">
              <w:rPr>
                <w:rFonts w:ascii="Calibri" w:eastAsia="Calibri" w:hAnsi="Calibri"/>
                <w:color w:val="000000"/>
              </w:rPr>
              <w:t xml:space="preserve">The utility must establish a target for the amount, expressed in megawatt-hours of first-year savings, of energy efficiency resources expected to </w:t>
            </w:r>
            <w:proofErr w:type="gramStart"/>
            <w:r w:rsidRPr="007C21F1">
              <w:rPr>
                <w:rFonts w:ascii="Calibri" w:eastAsia="Calibri" w:hAnsi="Calibri"/>
                <w:color w:val="000000"/>
              </w:rPr>
              <w:t>be acquired</w:t>
            </w:r>
            <w:proofErr w:type="gramEnd"/>
            <w:r w:rsidRPr="007C21F1">
              <w:rPr>
                <w:rFonts w:ascii="Calibri" w:eastAsia="Calibri" w:hAnsi="Calibri"/>
                <w:color w:val="000000"/>
              </w:rPr>
              <w:t xml:space="preserve"> during the period. The energy efficiency target must comply with WAC 194-40</w:t>
            </w:r>
            <w:r w:rsidRPr="007C21F1">
              <w:rPr>
                <w:rFonts w:ascii="Calibri" w:eastAsia="Calibri" w:hAnsi="Calibri"/>
                <w:color w:val="000000"/>
              </w:rPr>
              <w:softHyphen/>
              <w:t>-330(1).</w:t>
            </w:r>
          </w:p>
          <w:p w14:paraId="03CDEBA9" w14:textId="496B755D" w:rsidR="00B139DE" w:rsidRPr="007C21F1" w:rsidRDefault="00B139DE" w:rsidP="00087F0A">
            <w:pPr>
              <w:tabs>
                <w:tab w:val="left" w:pos="360"/>
                <w:tab w:val="left" w:pos="1440"/>
              </w:tabs>
              <w:spacing w:before="4"/>
              <w:ind w:left="1080" w:right="72"/>
              <w:textAlignment w:val="baseline"/>
              <w:rPr>
                <w:rFonts w:ascii="Calibri" w:eastAsia="Calibri" w:hAnsi="Calibri"/>
                <w:b/>
                <w:color w:val="000000"/>
                <w:spacing w:val="-4"/>
              </w:rPr>
            </w:pPr>
            <w:r w:rsidRPr="007C21F1">
              <w:rPr>
                <w:rFonts w:ascii="Calibri" w:eastAsia="Calibri" w:hAnsi="Calibri"/>
                <w:b/>
                <w:color w:val="000000"/>
                <w:spacing w:val="-4"/>
              </w:rPr>
              <w:t xml:space="preserve">(b) Demand response resources. </w:t>
            </w:r>
            <w:r w:rsidRPr="007C21F1">
              <w:rPr>
                <w:rFonts w:ascii="Calibri" w:eastAsia="Calibri" w:hAnsi="Calibri"/>
                <w:color w:val="000000"/>
                <w:spacing w:val="-4"/>
              </w:rPr>
              <w:t xml:space="preserve">The utility must specify a target for the amount, expressed in megawatts, of demand response resources to </w:t>
            </w:r>
            <w:proofErr w:type="gramStart"/>
            <w:r w:rsidRPr="007C21F1">
              <w:rPr>
                <w:rFonts w:ascii="Calibri" w:eastAsia="Calibri" w:hAnsi="Calibri"/>
                <w:color w:val="000000"/>
                <w:spacing w:val="-4"/>
              </w:rPr>
              <w:t>be acquired</w:t>
            </w:r>
            <w:proofErr w:type="gramEnd"/>
            <w:r w:rsidRPr="007C21F1">
              <w:rPr>
                <w:rFonts w:ascii="Calibri" w:eastAsia="Calibri" w:hAnsi="Calibri"/>
                <w:color w:val="000000"/>
                <w:spacing w:val="-4"/>
              </w:rPr>
              <w:t xml:space="preserve"> during the period. The demand response target must comply with WAC 194-40-330(2).</w:t>
            </w:r>
          </w:p>
          <w:p w14:paraId="0DD6760F" w14:textId="5633BD80" w:rsidR="00B139DE" w:rsidRPr="007C21F1" w:rsidRDefault="00B139DE" w:rsidP="00087F0A">
            <w:pPr>
              <w:tabs>
                <w:tab w:val="left" w:pos="360"/>
                <w:tab w:val="left" w:pos="1440"/>
              </w:tabs>
              <w:spacing w:before="2"/>
              <w:ind w:left="1080" w:right="72"/>
              <w:textAlignment w:val="baseline"/>
              <w:rPr>
                <w:rFonts w:ascii="Calibri" w:eastAsia="Calibri" w:hAnsi="Calibri"/>
                <w:b/>
                <w:color w:val="000000"/>
              </w:rPr>
            </w:pPr>
            <w:r w:rsidRPr="007C21F1">
              <w:rPr>
                <w:rFonts w:ascii="Calibri" w:eastAsia="Calibri" w:hAnsi="Calibri"/>
                <w:b/>
                <w:color w:val="000000"/>
              </w:rPr>
              <w:t xml:space="preserve">(c) Renewable energy. </w:t>
            </w:r>
            <w:r w:rsidRPr="007C21F1">
              <w:rPr>
                <w:rFonts w:ascii="Calibri" w:eastAsia="Calibri" w:hAnsi="Calibri"/>
                <w:color w:val="000000"/>
              </w:rPr>
              <w:t xml:space="preserve">The utility’s target for renewable energy must identify the quantity in MWh of renewable electricity to </w:t>
            </w:r>
            <w:proofErr w:type="gramStart"/>
            <w:r w:rsidRPr="007C21F1">
              <w:rPr>
                <w:rFonts w:ascii="Calibri" w:eastAsia="Calibri" w:hAnsi="Calibri"/>
                <w:color w:val="000000"/>
              </w:rPr>
              <w:t>be used</w:t>
            </w:r>
            <w:proofErr w:type="gramEnd"/>
            <w:r w:rsidRPr="007C21F1">
              <w:rPr>
                <w:rFonts w:ascii="Calibri" w:eastAsia="Calibri" w:hAnsi="Calibri"/>
                <w:color w:val="000000"/>
              </w:rPr>
              <w:t xml:space="preserve"> in the period. </w:t>
            </w:r>
          </w:p>
          <w:p w14:paraId="777BD1BF" w14:textId="19F9BDB4" w:rsidR="00B139DE" w:rsidRPr="007C21F1" w:rsidRDefault="00B139DE" w:rsidP="00087F0A">
            <w:pPr>
              <w:spacing w:before="1"/>
              <w:ind w:left="720" w:right="72" w:hanging="360"/>
              <w:textAlignment w:val="baseline"/>
              <w:rPr>
                <w:rFonts w:ascii="Calibri" w:eastAsia="Calibri" w:hAnsi="Calibri"/>
                <w:color w:val="000000"/>
              </w:rPr>
            </w:pPr>
            <w:r w:rsidRPr="007C21F1">
              <w:rPr>
                <w:rFonts w:ascii="Calibri" w:eastAsia="Calibri" w:hAnsi="Calibri"/>
                <w:color w:val="000000"/>
              </w:rPr>
              <w:t xml:space="preserve">(4) </w:t>
            </w:r>
            <w:r w:rsidRPr="007C21F1">
              <w:rPr>
                <w:rFonts w:ascii="Calibri" w:eastAsia="Calibri" w:hAnsi="Calibri"/>
                <w:b/>
                <w:color w:val="000000"/>
              </w:rPr>
              <w:t xml:space="preserve">Specific actions to ensure equitable transition. </w:t>
            </w:r>
            <w:r w:rsidRPr="007C21F1">
              <w:rPr>
                <w:rFonts w:ascii="Calibri" w:eastAsia="Calibri" w:hAnsi="Calibri"/>
                <w:color w:val="000000"/>
              </w:rPr>
              <w:t xml:space="preserve">The CEIP must describe specific actions </w:t>
            </w:r>
            <w:r w:rsidR="00B137F9">
              <w:rPr>
                <w:rFonts w:ascii="Calibri" w:eastAsia="Calibri" w:hAnsi="Calibri"/>
                <w:color w:val="000000"/>
              </w:rPr>
              <w:t xml:space="preserve">of the utility </w:t>
            </w:r>
            <w:r w:rsidRPr="007C21F1">
              <w:rPr>
                <w:rFonts w:ascii="Calibri" w:eastAsia="Calibri" w:hAnsi="Calibri"/>
                <w:color w:val="000000"/>
              </w:rPr>
              <w:t xml:space="preserve">to </w:t>
            </w:r>
            <w:proofErr w:type="gramStart"/>
            <w:r w:rsidRPr="007C21F1">
              <w:rPr>
                <w:rFonts w:ascii="Calibri" w:eastAsia="Calibri" w:hAnsi="Calibri"/>
                <w:color w:val="000000"/>
              </w:rPr>
              <w:t>be taken</w:t>
            </w:r>
            <w:proofErr w:type="gramEnd"/>
            <w:r w:rsidRPr="007C21F1">
              <w:rPr>
                <w:rFonts w:ascii="Calibri" w:eastAsia="Calibri" w:hAnsi="Calibri"/>
                <w:color w:val="000000"/>
              </w:rPr>
              <w:t xml:space="preserve"> during the period to ensure that all customers are benefiting from the transition to clean energy, as required by RCW 19.405.040(8). The CEIP must, at a minimum:</w:t>
            </w:r>
          </w:p>
          <w:p w14:paraId="7BD45795" w14:textId="01DD2C96" w:rsidR="007C21F1" w:rsidRDefault="007C21F1" w:rsidP="007C21F1">
            <w:pPr>
              <w:tabs>
                <w:tab w:val="left" w:pos="360"/>
                <w:tab w:val="left" w:pos="1440"/>
              </w:tabs>
              <w:spacing w:before="7" w:line="308" w:lineRule="exact"/>
              <w:ind w:left="1080" w:right="72"/>
              <w:textAlignment w:val="baseline"/>
              <w:rPr>
                <w:rFonts w:ascii="Calibri" w:eastAsia="Calibri" w:hAnsi="Calibri"/>
                <w:color w:val="000000"/>
                <w:spacing w:val="-5"/>
                <w:sz w:val="23"/>
              </w:rPr>
            </w:pPr>
            <w:r>
              <w:rPr>
                <w:rFonts w:ascii="Calibri" w:eastAsia="Calibri" w:hAnsi="Calibri"/>
                <w:color w:val="000000"/>
                <w:spacing w:val="-4"/>
                <w:sz w:val="23"/>
              </w:rPr>
              <w:t>(a)Report the forecasted distribution of energy and non-energy costs and benefits for the utility’s portfolio of specific actions, including impacts resulting from</w:t>
            </w:r>
            <w:r w:rsidRPr="004C63A3">
              <w:rPr>
                <w:rFonts w:ascii="Calibri" w:eastAsia="Calibri" w:hAnsi="Calibri"/>
                <w:color w:val="000000"/>
                <w:spacing w:val="-4"/>
                <w:sz w:val="23"/>
              </w:rPr>
              <w:t xml:space="preserve"> </w:t>
            </w:r>
            <w:r>
              <w:rPr>
                <w:rFonts w:ascii="Calibri" w:eastAsia="Calibri" w:hAnsi="Calibri"/>
                <w:color w:val="000000"/>
                <w:spacing w:val="-4"/>
                <w:sz w:val="23"/>
              </w:rPr>
              <w:t xml:space="preserve">achievement of the specific </w:t>
            </w:r>
            <w:r w:rsidRPr="00C80073">
              <w:rPr>
                <w:rFonts w:ascii="Calibri" w:eastAsia="Calibri" w:hAnsi="Calibri"/>
                <w:color w:val="000000"/>
                <w:spacing w:val="-4"/>
                <w:sz w:val="23"/>
              </w:rPr>
              <w:t>targets</w:t>
            </w:r>
            <w:r w:rsidRPr="00C63E68">
              <w:rPr>
                <w:rFonts w:ascii="Calibri" w:eastAsia="Calibri" w:hAnsi="Calibri"/>
                <w:color w:val="000000"/>
                <w:spacing w:val="-4"/>
                <w:sz w:val="23"/>
              </w:rPr>
              <w:t xml:space="preserve"> </w:t>
            </w:r>
            <w:r>
              <w:rPr>
                <w:rFonts w:ascii="Calibri" w:eastAsia="Calibri" w:hAnsi="Calibri"/>
                <w:color w:val="000000"/>
                <w:spacing w:val="-4"/>
                <w:sz w:val="23"/>
              </w:rPr>
              <w:t xml:space="preserve">established under subsection </w:t>
            </w:r>
            <w:r w:rsidRPr="00C63E68">
              <w:rPr>
                <w:rFonts w:ascii="Calibri" w:eastAsia="Calibri" w:hAnsi="Calibri"/>
                <w:color w:val="000000"/>
                <w:spacing w:val="-4"/>
                <w:sz w:val="23"/>
              </w:rPr>
              <w:t>(3)</w:t>
            </w:r>
            <w:r>
              <w:rPr>
                <w:rFonts w:ascii="Calibri" w:eastAsia="Calibri" w:hAnsi="Calibri"/>
                <w:color w:val="000000"/>
                <w:spacing w:val="-4"/>
                <w:sz w:val="23"/>
              </w:rPr>
              <w:t xml:space="preserve">. The report </w:t>
            </w:r>
            <w:r w:rsidRPr="00F63AB9">
              <w:rPr>
                <w:rFonts w:ascii="Calibri" w:eastAsia="Calibri" w:hAnsi="Calibri"/>
                <w:color w:val="000000"/>
                <w:spacing w:val="-5"/>
                <w:sz w:val="23"/>
              </w:rPr>
              <w:t>must</w:t>
            </w:r>
            <w:r>
              <w:rPr>
                <w:rFonts w:ascii="Calibri" w:eastAsia="Calibri" w:hAnsi="Calibri"/>
                <w:color w:val="000000"/>
                <w:spacing w:val="-5"/>
                <w:sz w:val="23"/>
              </w:rPr>
              <w:t>:</w:t>
            </w:r>
            <w:r w:rsidRPr="00F63AB9">
              <w:rPr>
                <w:rFonts w:ascii="Calibri" w:eastAsia="Calibri" w:hAnsi="Calibri"/>
                <w:color w:val="000000"/>
                <w:spacing w:val="-5"/>
                <w:sz w:val="23"/>
              </w:rPr>
              <w:t xml:space="preserve"> </w:t>
            </w:r>
          </w:p>
          <w:p w14:paraId="1C30E5AB" w14:textId="1CEF72F1" w:rsidR="007C21F1" w:rsidRDefault="007C21F1" w:rsidP="007C21F1">
            <w:pPr>
              <w:tabs>
                <w:tab w:val="left" w:pos="360"/>
                <w:tab w:val="left" w:pos="1440"/>
              </w:tabs>
              <w:spacing w:before="7" w:line="308" w:lineRule="exact"/>
              <w:ind w:left="1440" w:right="72"/>
              <w:textAlignment w:val="baseline"/>
              <w:rPr>
                <w:rFonts w:ascii="Calibri" w:eastAsia="Calibri" w:hAnsi="Calibri"/>
                <w:color w:val="000000"/>
                <w:spacing w:val="-5"/>
                <w:sz w:val="23"/>
              </w:rPr>
            </w:pPr>
            <w:r>
              <w:rPr>
                <w:rFonts w:ascii="Calibri" w:eastAsia="Calibri" w:hAnsi="Calibri"/>
                <w:color w:val="000000"/>
                <w:spacing w:val="-5"/>
                <w:sz w:val="23"/>
              </w:rPr>
              <w:t>(</w:t>
            </w:r>
            <w:proofErr w:type="spellStart"/>
            <w:r>
              <w:rPr>
                <w:rFonts w:ascii="Calibri" w:eastAsia="Calibri" w:hAnsi="Calibri"/>
                <w:color w:val="000000"/>
                <w:spacing w:val="-5"/>
                <w:sz w:val="23"/>
              </w:rPr>
              <w:t>i</w:t>
            </w:r>
            <w:proofErr w:type="spellEnd"/>
            <w:r>
              <w:rPr>
                <w:rFonts w:ascii="Calibri" w:eastAsia="Calibri" w:hAnsi="Calibri"/>
                <w:color w:val="000000"/>
                <w:spacing w:val="-5"/>
                <w:sz w:val="23"/>
              </w:rPr>
              <w:t xml:space="preserve">) include indicators, developed through a public process as part of the utility’s long-term planning, for </w:t>
            </w:r>
            <w:r w:rsidR="00E454EE">
              <w:rPr>
                <w:rFonts w:ascii="Calibri" w:eastAsia="Calibri" w:hAnsi="Calibri"/>
                <w:color w:val="000000"/>
                <w:spacing w:val="-5"/>
                <w:sz w:val="23"/>
              </w:rPr>
              <w:t xml:space="preserve">the </w:t>
            </w:r>
            <w:r w:rsidR="00365055">
              <w:rPr>
                <w:rFonts w:ascii="Calibri" w:eastAsia="Calibri" w:hAnsi="Calibri"/>
                <w:color w:val="000000"/>
                <w:spacing w:val="-5"/>
                <w:sz w:val="23"/>
              </w:rPr>
              <w:t>provisions</w:t>
            </w:r>
            <w:r>
              <w:rPr>
                <w:rFonts w:ascii="Calibri" w:eastAsia="Calibri" w:hAnsi="Calibri"/>
                <w:color w:val="000000"/>
                <w:spacing w:val="-5"/>
                <w:sz w:val="23"/>
              </w:rPr>
              <w:t xml:space="preserve"> </w:t>
            </w:r>
            <w:r w:rsidR="00365055">
              <w:rPr>
                <w:rFonts w:ascii="Calibri" w:eastAsia="Calibri" w:hAnsi="Calibri"/>
                <w:color w:val="000000"/>
                <w:spacing w:val="-5"/>
                <w:sz w:val="23"/>
              </w:rPr>
              <w:t xml:space="preserve">in </w:t>
            </w:r>
            <w:r>
              <w:rPr>
                <w:rFonts w:ascii="Calibri" w:eastAsia="Calibri" w:hAnsi="Calibri"/>
                <w:color w:val="000000"/>
                <w:spacing w:val="-5"/>
                <w:sz w:val="23"/>
              </w:rPr>
              <w:t>RCW 19.405.040(8);</w:t>
            </w:r>
          </w:p>
          <w:p w14:paraId="1AE79263" w14:textId="159207FA" w:rsidR="007C21F1" w:rsidRDefault="007C21F1" w:rsidP="007C21F1">
            <w:pPr>
              <w:tabs>
                <w:tab w:val="left" w:pos="360"/>
                <w:tab w:val="left" w:pos="1440"/>
              </w:tabs>
              <w:spacing w:before="7" w:line="308" w:lineRule="exact"/>
              <w:ind w:left="1440" w:right="72"/>
              <w:textAlignment w:val="baseline"/>
              <w:rPr>
                <w:rFonts w:ascii="Calibri" w:eastAsia="Calibri" w:hAnsi="Calibri"/>
                <w:color w:val="000000"/>
                <w:spacing w:val="-5"/>
                <w:sz w:val="23"/>
              </w:rPr>
            </w:pPr>
            <w:r w:rsidRPr="00F63AB9">
              <w:rPr>
                <w:rFonts w:ascii="Calibri" w:eastAsia="Calibri" w:hAnsi="Calibri"/>
                <w:color w:val="000000"/>
                <w:spacing w:val="-5"/>
                <w:sz w:val="23"/>
              </w:rPr>
              <w:t>(i</w:t>
            </w:r>
            <w:r w:rsidR="00162998">
              <w:rPr>
                <w:rFonts w:ascii="Calibri" w:eastAsia="Calibri" w:hAnsi="Calibri"/>
                <w:color w:val="000000"/>
                <w:spacing w:val="-5"/>
                <w:sz w:val="23"/>
              </w:rPr>
              <w:t>i</w:t>
            </w:r>
            <w:r w:rsidRPr="00F63AB9">
              <w:rPr>
                <w:rFonts w:ascii="Calibri" w:eastAsia="Calibri" w:hAnsi="Calibri"/>
                <w:color w:val="000000"/>
                <w:spacing w:val="-5"/>
                <w:sz w:val="23"/>
              </w:rPr>
              <w:t xml:space="preserve">) identify </w:t>
            </w:r>
            <w:r>
              <w:rPr>
                <w:rFonts w:ascii="Calibri" w:eastAsia="Calibri" w:hAnsi="Calibri"/>
                <w:color w:val="000000"/>
                <w:spacing w:val="-5"/>
                <w:sz w:val="23"/>
              </w:rPr>
              <w:t xml:space="preserve">the expected effect of specific actions on </w:t>
            </w:r>
            <w:r w:rsidRPr="00F63AB9">
              <w:rPr>
                <w:rFonts w:ascii="Calibri" w:eastAsia="Calibri" w:hAnsi="Calibri"/>
                <w:color w:val="000000"/>
                <w:spacing w:val="-5"/>
                <w:sz w:val="23"/>
              </w:rPr>
              <w:t>highly impacted communities or</w:t>
            </w:r>
            <w:r>
              <w:rPr>
                <w:rFonts w:ascii="Calibri" w:eastAsia="Calibri" w:hAnsi="Calibri"/>
                <w:color w:val="000000"/>
                <w:spacing w:val="-5"/>
                <w:sz w:val="23"/>
              </w:rPr>
              <w:t xml:space="preserve"> vulnerable populations;</w:t>
            </w:r>
            <w:r w:rsidR="00162998">
              <w:rPr>
                <w:rFonts w:ascii="Calibri" w:eastAsia="Calibri" w:hAnsi="Calibri"/>
                <w:color w:val="000000"/>
                <w:spacing w:val="-5"/>
                <w:sz w:val="23"/>
              </w:rPr>
              <w:t xml:space="preserve">  </w:t>
            </w:r>
          </w:p>
          <w:p w14:paraId="40E79B75" w14:textId="497E5BC1" w:rsidR="007C21F1" w:rsidRDefault="007C21F1" w:rsidP="007C21F1">
            <w:pPr>
              <w:tabs>
                <w:tab w:val="left" w:pos="360"/>
                <w:tab w:val="left" w:pos="1440"/>
              </w:tabs>
              <w:spacing w:before="7" w:line="308" w:lineRule="exact"/>
              <w:ind w:left="1440" w:right="72"/>
              <w:textAlignment w:val="baseline"/>
              <w:rPr>
                <w:rFonts w:ascii="Calibri" w:eastAsia="Calibri" w:hAnsi="Calibri"/>
                <w:color w:val="000000"/>
                <w:spacing w:val="-4"/>
                <w:sz w:val="23"/>
              </w:rPr>
            </w:pPr>
            <w:r>
              <w:rPr>
                <w:rFonts w:ascii="Calibri" w:eastAsia="Calibri" w:hAnsi="Calibri"/>
                <w:color w:val="000000"/>
                <w:spacing w:val="-5"/>
                <w:sz w:val="23"/>
              </w:rPr>
              <w:t>(ii</w:t>
            </w:r>
            <w:r w:rsidR="00365055">
              <w:rPr>
                <w:rFonts w:ascii="Calibri" w:eastAsia="Calibri" w:hAnsi="Calibri"/>
                <w:color w:val="000000"/>
                <w:spacing w:val="-5"/>
                <w:sz w:val="23"/>
              </w:rPr>
              <w:t>i</w:t>
            </w:r>
            <w:r w:rsidRPr="00F63AB9">
              <w:rPr>
                <w:rFonts w:ascii="Calibri" w:eastAsia="Calibri" w:hAnsi="Calibri"/>
                <w:color w:val="000000"/>
                <w:spacing w:val="-5"/>
                <w:sz w:val="23"/>
              </w:rPr>
              <w:t xml:space="preserve">) describe how the specific actions in the CEIP are consistent with the </w:t>
            </w:r>
            <w:r>
              <w:rPr>
                <w:rFonts w:ascii="Calibri" w:eastAsia="Calibri" w:hAnsi="Calibri"/>
                <w:color w:val="000000"/>
                <w:spacing w:val="-5"/>
                <w:sz w:val="23"/>
              </w:rPr>
              <w:t xml:space="preserve">utility’s </w:t>
            </w:r>
            <w:r w:rsidRPr="00F63AB9">
              <w:rPr>
                <w:rFonts w:ascii="Calibri" w:eastAsia="Calibri" w:hAnsi="Calibri"/>
                <w:color w:val="000000"/>
                <w:spacing w:val="-5"/>
                <w:sz w:val="23"/>
              </w:rPr>
              <w:t xml:space="preserve">longer-term strategies </w:t>
            </w:r>
            <w:r>
              <w:rPr>
                <w:rFonts w:ascii="Calibri" w:eastAsia="Calibri" w:hAnsi="Calibri"/>
                <w:color w:val="000000"/>
                <w:spacing w:val="-5"/>
                <w:sz w:val="23"/>
              </w:rPr>
              <w:t>based on 19.280.030(1)(</w:t>
            </w:r>
            <w:r w:rsidR="00365055">
              <w:rPr>
                <w:rFonts w:ascii="Calibri" w:eastAsia="Calibri" w:hAnsi="Calibri"/>
                <w:color w:val="000000"/>
                <w:spacing w:val="-5"/>
                <w:sz w:val="23"/>
              </w:rPr>
              <w:t>j</w:t>
            </w:r>
            <w:r>
              <w:rPr>
                <w:rFonts w:ascii="Calibri" w:eastAsia="Calibri" w:hAnsi="Calibri"/>
                <w:color w:val="000000"/>
                <w:spacing w:val="-5"/>
                <w:sz w:val="23"/>
              </w:rPr>
              <w:t>)</w:t>
            </w:r>
            <w:r>
              <w:rPr>
                <w:rFonts w:ascii="Calibri" w:eastAsia="Calibri" w:hAnsi="Calibri"/>
                <w:color w:val="000000"/>
                <w:spacing w:val="-4"/>
                <w:sz w:val="23"/>
              </w:rPr>
              <w:t xml:space="preserve"> and clean energy action plan in 19.280.030(1)(l);</w:t>
            </w:r>
            <w:r w:rsidR="00162998">
              <w:rPr>
                <w:rFonts w:ascii="Calibri" w:eastAsia="Calibri" w:hAnsi="Calibri"/>
                <w:color w:val="000000"/>
                <w:spacing w:val="-4"/>
                <w:sz w:val="23"/>
              </w:rPr>
              <w:t xml:space="preserve"> and</w:t>
            </w:r>
          </w:p>
          <w:p w14:paraId="16C061DF" w14:textId="5FDEE33A" w:rsidR="00162998" w:rsidRDefault="00162998" w:rsidP="007C21F1">
            <w:pPr>
              <w:tabs>
                <w:tab w:val="left" w:pos="360"/>
                <w:tab w:val="left" w:pos="1440"/>
              </w:tabs>
              <w:spacing w:before="7" w:line="308" w:lineRule="exact"/>
              <w:ind w:left="1440" w:right="72"/>
              <w:textAlignment w:val="baseline"/>
              <w:rPr>
                <w:rFonts w:ascii="Calibri" w:eastAsia="Calibri" w:hAnsi="Calibri"/>
                <w:color w:val="000000"/>
                <w:spacing w:val="-4"/>
                <w:sz w:val="23"/>
              </w:rPr>
            </w:pPr>
            <w:r>
              <w:rPr>
                <w:rFonts w:ascii="Calibri" w:eastAsia="Calibri" w:hAnsi="Calibri"/>
                <w:color w:val="000000"/>
                <w:spacing w:val="-4"/>
                <w:sz w:val="23"/>
              </w:rPr>
              <w:t xml:space="preserve">(iv) </w:t>
            </w:r>
            <w:proofErr w:type="gramStart"/>
            <w:r w:rsidR="00E454EE">
              <w:rPr>
                <w:rFonts w:ascii="Calibri" w:eastAsia="Calibri" w:hAnsi="Calibri"/>
                <w:color w:val="000000"/>
                <w:spacing w:val="-4"/>
                <w:sz w:val="23"/>
              </w:rPr>
              <w:t>if</w:t>
            </w:r>
            <w:proofErr w:type="gramEnd"/>
            <w:r w:rsidR="00E454EE">
              <w:rPr>
                <w:rFonts w:ascii="Calibri" w:eastAsia="Calibri" w:hAnsi="Calibri"/>
                <w:color w:val="000000"/>
                <w:spacing w:val="-4"/>
                <w:sz w:val="23"/>
              </w:rPr>
              <w:t xml:space="preserve"> the utility is subject to RCW 19.280.030(1), </w:t>
            </w:r>
            <w:r>
              <w:rPr>
                <w:rFonts w:ascii="Calibri" w:eastAsia="Calibri" w:hAnsi="Calibri"/>
                <w:color w:val="000000"/>
                <w:spacing w:val="-4"/>
                <w:sz w:val="23"/>
              </w:rPr>
              <w:t xml:space="preserve">be </w:t>
            </w:r>
            <w:r w:rsidRPr="00D25E29">
              <w:rPr>
                <w:rFonts w:ascii="Calibri" w:eastAsia="Calibri" w:hAnsi="Calibri"/>
                <w:color w:val="000000"/>
              </w:rPr>
              <w:t xml:space="preserve">informed by </w:t>
            </w:r>
            <w:r>
              <w:rPr>
                <w:rFonts w:ascii="Calibri" w:eastAsia="Calibri" w:hAnsi="Calibri"/>
                <w:color w:val="000000"/>
              </w:rPr>
              <w:t xml:space="preserve">the assessment described in RCW </w:t>
            </w:r>
            <w:r w:rsidRPr="00D25E29">
              <w:rPr>
                <w:rFonts w:ascii="Calibri" w:eastAsia="Calibri" w:hAnsi="Calibri"/>
                <w:color w:val="000000"/>
              </w:rPr>
              <w:t xml:space="preserve">19.280.030(1)(k) from </w:t>
            </w:r>
            <w:r w:rsidR="00E454EE">
              <w:rPr>
                <w:rFonts w:ascii="Calibri" w:eastAsia="Calibri" w:hAnsi="Calibri"/>
                <w:color w:val="000000"/>
              </w:rPr>
              <w:t>its</w:t>
            </w:r>
            <w:r w:rsidRPr="00D25E29">
              <w:rPr>
                <w:rFonts w:ascii="Calibri" w:eastAsia="Calibri" w:hAnsi="Calibri"/>
                <w:color w:val="000000"/>
              </w:rPr>
              <w:t xml:space="preserve"> most recent integrated resource plan</w:t>
            </w:r>
            <w:r>
              <w:rPr>
                <w:rFonts w:ascii="Calibri" w:eastAsia="Calibri" w:hAnsi="Calibri"/>
                <w:color w:val="000000"/>
              </w:rPr>
              <w:t xml:space="preserve">. </w:t>
            </w:r>
          </w:p>
          <w:p w14:paraId="642A8458" w14:textId="55D3D0C8" w:rsidR="00B139DE" w:rsidRPr="007C21F1" w:rsidRDefault="00B139DE" w:rsidP="007C21F1">
            <w:pPr>
              <w:tabs>
                <w:tab w:val="left" w:pos="360"/>
                <w:tab w:val="left" w:pos="1440"/>
              </w:tabs>
              <w:spacing w:before="7"/>
              <w:ind w:left="1080" w:right="72"/>
              <w:textAlignment w:val="baseline"/>
              <w:rPr>
                <w:rFonts w:ascii="Calibri" w:eastAsia="Calibri" w:hAnsi="Calibri"/>
                <w:color w:val="000000"/>
                <w:spacing w:val="-4"/>
              </w:rPr>
            </w:pPr>
          </w:p>
          <w:p w14:paraId="1267D428" w14:textId="77777777" w:rsidR="00A449AE" w:rsidRPr="00A449AE" w:rsidRDefault="00A449AE" w:rsidP="00A449AE">
            <w:pPr>
              <w:tabs>
                <w:tab w:val="left" w:pos="360"/>
                <w:tab w:val="left" w:pos="1440"/>
              </w:tabs>
              <w:spacing w:before="2"/>
              <w:ind w:left="1080" w:right="72"/>
              <w:textAlignment w:val="baseline"/>
              <w:rPr>
                <w:rFonts w:ascii="Calibri" w:eastAsia="Calibri" w:hAnsi="Calibri"/>
                <w:color w:val="000000"/>
                <w:spacing w:val="-5"/>
                <w:sz w:val="23"/>
              </w:rPr>
            </w:pPr>
            <w:r w:rsidRPr="00A449AE">
              <w:rPr>
                <w:rFonts w:ascii="Calibri" w:eastAsia="Calibri" w:hAnsi="Calibri"/>
                <w:color w:val="000000"/>
                <w:spacing w:val="-5"/>
                <w:sz w:val="23"/>
              </w:rPr>
              <w:t>(b) Identify each highly impacted community, as defined in RCW 19.405.020(23), and the basis for its designation as either (</w:t>
            </w:r>
            <w:proofErr w:type="spellStart"/>
            <w:r w:rsidRPr="00A449AE">
              <w:rPr>
                <w:rFonts w:ascii="Calibri" w:eastAsia="Calibri" w:hAnsi="Calibri"/>
                <w:color w:val="000000"/>
                <w:spacing w:val="-5"/>
                <w:sz w:val="23"/>
              </w:rPr>
              <w:t>i</w:t>
            </w:r>
            <w:proofErr w:type="spellEnd"/>
            <w:r w:rsidRPr="00A449AE">
              <w:rPr>
                <w:rFonts w:ascii="Calibri" w:eastAsia="Calibri" w:hAnsi="Calibri"/>
                <w:color w:val="000000"/>
                <w:spacing w:val="-5"/>
                <w:sz w:val="23"/>
              </w:rPr>
              <w:t>) a community designated by the department of health based on cumulative impact analyses or (ii) a community located in census tracts that are at least partially on Indian country.</w:t>
            </w:r>
          </w:p>
          <w:p w14:paraId="3FA49AC8" w14:textId="57B0A2CA" w:rsidR="007A0EEE" w:rsidRDefault="007A0EEE" w:rsidP="007A0EEE">
            <w:pPr>
              <w:tabs>
                <w:tab w:val="left" w:pos="360"/>
                <w:tab w:val="left" w:pos="1440"/>
              </w:tabs>
              <w:spacing w:before="7" w:line="308" w:lineRule="exact"/>
              <w:ind w:left="1080" w:right="72"/>
              <w:textAlignment w:val="baseline"/>
              <w:rPr>
                <w:rFonts w:ascii="Calibri" w:eastAsia="Calibri" w:hAnsi="Calibri"/>
                <w:color w:val="000000"/>
                <w:spacing w:val="-5"/>
                <w:sz w:val="23"/>
              </w:rPr>
            </w:pPr>
            <w:r>
              <w:rPr>
                <w:rFonts w:ascii="Calibri" w:eastAsia="Calibri" w:hAnsi="Calibri"/>
                <w:color w:val="000000"/>
                <w:spacing w:val="-5"/>
                <w:sz w:val="23"/>
              </w:rPr>
              <w:t>(c) I</w:t>
            </w:r>
            <w:r w:rsidRPr="00F63AB9">
              <w:rPr>
                <w:rFonts w:ascii="Calibri" w:eastAsia="Calibri" w:hAnsi="Calibri"/>
                <w:color w:val="000000"/>
                <w:spacing w:val="-5"/>
                <w:sz w:val="23"/>
              </w:rPr>
              <w:t xml:space="preserve">dentify vulnerable populations based on </w:t>
            </w:r>
            <w:r>
              <w:rPr>
                <w:rFonts w:ascii="Calibri" w:eastAsia="Calibri" w:hAnsi="Calibri"/>
                <w:color w:val="000000"/>
                <w:spacing w:val="-5"/>
                <w:sz w:val="23"/>
              </w:rPr>
              <w:t xml:space="preserve">the </w:t>
            </w:r>
            <w:r w:rsidRPr="00F63AB9">
              <w:rPr>
                <w:rFonts w:ascii="Calibri" w:eastAsia="Calibri" w:hAnsi="Calibri"/>
                <w:color w:val="000000"/>
                <w:spacing w:val="-5"/>
                <w:sz w:val="23"/>
              </w:rPr>
              <w:t xml:space="preserve">adverse socioeconomic factors and sensitivity factors developed through </w:t>
            </w:r>
            <w:r>
              <w:rPr>
                <w:rFonts w:ascii="Calibri" w:eastAsia="Calibri" w:hAnsi="Calibri"/>
                <w:color w:val="000000"/>
                <w:spacing w:val="-5"/>
                <w:sz w:val="23"/>
              </w:rPr>
              <w:t>a public process and describe and explain any changes from the utility’s</w:t>
            </w:r>
            <w:r w:rsidRPr="00F63AB9">
              <w:rPr>
                <w:rFonts w:ascii="Calibri" w:eastAsia="Calibri" w:hAnsi="Calibri"/>
                <w:color w:val="000000"/>
                <w:spacing w:val="-5"/>
                <w:sz w:val="23"/>
              </w:rPr>
              <w:t xml:space="preserve"> </w:t>
            </w:r>
            <w:r w:rsidR="00D234ED">
              <w:rPr>
                <w:rFonts w:ascii="Calibri" w:eastAsia="Calibri" w:hAnsi="Calibri"/>
                <w:color w:val="000000"/>
                <w:spacing w:val="-5"/>
                <w:sz w:val="23"/>
              </w:rPr>
              <w:t>previous</w:t>
            </w:r>
            <w:r w:rsidRPr="00F63AB9">
              <w:rPr>
                <w:rFonts w:ascii="Calibri" w:eastAsia="Calibri" w:hAnsi="Calibri"/>
                <w:color w:val="000000"/>
                <w:spacing w:val="-5"/>
                <w:sz w:val="23"/>
              </w:rPr>
              <w:t xml:space="preserve"> CEIP</w:t>
            </w:r>
            <w:r w:rsidR="00D234ED">
              <w:rPr>
                <w:rFonts w:ascii="Calibri" w:eastAsia="Calibri" w:hAnsi="Calibri"/>
                <w:color w:val="000000"/>
                <w:spacing w:val="-5"/>
                <w:sz w:val="23"/>
              </w:rPr>
              <w:t>, if any</w:t>
            </w:r>
            <w:r>
              <w:rPr>
                <w:rFonts w:ascii="Calibri" w:eastAsia="Calibri" w:hAnsi="Calibri"/>
                <w:color w:val="000000"/>
                <w:spacing w:val="-5"/>
                <w:sz w:val="23"/>
              </w:rPr>
              <w:t>;</w:t>
            </w:r>
            <w:r w:rsidR="004A1057">
              <w:rPr>
                <w:rFonts w:ascii="Calibri" w:eastAsia="Calibri" w:hAnsi="Calibri"/>
                <w:color w:val="000000"/>
                <w:spacing w:val="-5"/>
                <w:sz w:val="23"/>
              </w:rPr>
              <w:t xml:space="preserve"> and</w:t>
            </w:r>
          </w:p>
          <w:p w14:paraId="629A96F6" w14:textId="4A3C232E" w:rsidR="007A0EEE" w:rsidRDefault="007A0EEE" w:rsidP="007A0EEE">
            <w:pPr>
              <w:tabs>
                <w:tab w:val="left" w:pos="360"/>
                <w:tab w:val="left" w:pos="1440"/>
              </w:tabs>
              <w:spacing w:before="2" w:line="308" w:lineRule="exact"/>
              <w:ind w:left="1080" w:right="72"/>
              <w:textAlignment w:val="baseline"/>
              <w:rPr>
                <w:rFonts w:ascii="Calibri" w:eastAsia="Calibri" w:hAnsi="Calibri"/>
                <w:color w:val="000000"/>
                <w:sz w:val="23"/>
              </w:rPr>
            </w:pPr>
            <w:r>
              <w:rPr>
                <w:rFonts w:ascii="Calibri" w:eastAsia="Calibri" w:hAnsi="Calibri"/>
                <w:color w:val="000000"/>
                <w:spacing w:val="-5"/>
                <w:sz w:val="23"/>
              </w:rPr>
              <w:t xml:space="preserve">(d) </w:t>
            </w:r>
            <w:r w:rsidRPr="00F63AB9">
              <w:rPr>
                <w:rFonts w:ascii="Calibri" w:eastAsia="Calibri" w:hAnsi="Calibri"/>
                <w:color w:val="000000"/>
                <w:spacing w:val="-5"/>
                <w:sz w:val="23"/>
              </w:rPr>
              <w:t>Describe how the utility intends to mitigate risks to highly impacted communi</w:t>
            </w:r>
            <w:r>
              <w:rPr>
                <w:rFonts w:ascii="Calibri" w:eastAsia="Calibri" w:hAnsi="Calibri"/>
                <w:color w:val="000000"/>
                <w:spacing w:val="-5"/>
                <w:sz w:val="23"/>
              </w:rPr>
              <w:t>ties and vulnerable populations</w:t>
            </w:r>
            <w:r w:rsidR="004A1057">
              <w:rPr>
                <w:rFonts w:ascii="Calibri" w:eastAsia="Calibri" w:hAnsi="Calibri"/>
                <w:color w:val="000000"/>
                <w:spacing w:val="-5"/>
                <w:sz w:val="23"/>
              </w:rPr>
              <w:t>.</w:t>
            </w:r>
          </w:p>
          <w:p w14:paraId="28511876" w14:textId="3A0627CC" w:rsidR="00B139DE" w:rsidRPr="005439B1" w:rsidRDefault="007A0EEE" w:rsidP="007C21F1">
            <w:pPr>
              <w:spacing w:before="1"/>
              <w:ind w:left="720" w:right="72" w:hanging="360"/>
              <w:textAlignment w:val="baseline"/>
              <w:rPr>
                <w:rFonts w:ascii="Calibri" w:eastAsia="Calibri" w:hAnsi="Calibri"/>
                <w:color w:val="000000"/>
              </w:rPr>
            </w:pPr>
            <w:r w:rsidRPr="007C21F1" w:rsidDel="007A0EEE">
              <w:rPr>
                <w:rFonts w:ascii="Calibri" w:eastAsia="Calibri" w:hAnsi="Calibri"/>
                <w:color w:val="000000"/>
              </w:rPr>
              <w:t xml:space="preserve"> </w:t>
            </w:r>
            <w:r w:rsidR="004A1057">
              <w:rPr>
                <w:rFonts w:ascii="Calibri" w:eastAsia="Calibri" w:hAnsi="Calibri"/>
                <w:color w:val="000000"/>
              </w:rPr>
              <w:t xml:space="preserve">             </w:t>
            </w:r>
            <w:r w:rsidR="00AB7B1E" w:rsidDel="00AB7B1E">
              <w:rPr>
                <w:rFonts w:ascii="Calibri" w:eastAsia="Calibri" w:hAnsi="Calibri"/>
                <w:color w:val="000000"/>
                <w:sz w:val="23"/>
              </w:rPr>
              <w:t xml:space="preserve"> </w:t>
            </w:r>
            <w:r w:rsidR="00B139DE" w:rsidRPr="005439B1">
              <w:rPr>
                <w:rFonts w:ascii="Calibri" w:eastAsia="Calibri" w:hAnsi="Calibri"/>
                <w:color w:val="000000"/>
              </w:rPr>
              <w:t xml:space="preserve">(5) </w:t>
            </w:r>
            <w:r w:rsidR="00B139DE" w:rsidRPr="005439B1">
              <w:rPr>
                <w:rFonts w:ascii="Calibri" w:eastAsia="Calibri" w:hAnsi="Calibri"/>
                <w:b/>
                <w:color w:val="000000"/>
              </w:rPr>
              <w:t xml:space="preserve">Use of alternative compliance options. </w:t>
            </w:r>
            <w:r w:rsidR="00B139DE" w:rsidRPr="005439B1">
              <w:rPr>
                <w:rFonts w:ascii="Calibri" w:eastAsia="Calibri" w:hAnsi="Calibri"/>
                <w:color w:val="000000"/>
              </w:rPr>
              <w:t>The CEIP must identify any planned use during the period of alternative compliance options, as provided for in RCW 19.405.040(1</w:t>
            </w:r>
            <w:proofErr w:type="gramStart"/>
            <w:r w:rsidR="00B139DE" w:rsidRPr="005439B1">
              <w:rPr>
                <w:rFonts w:ascii="Calibri" w:eastAsia="Calibri" w:hAnsi="Calibri"/>
                <w:color w:val="000000"/>
              </w:rPr>
              <w:t>)(</w:t>
            </w:r>
            <w:proofErr w:type="gramEnd"/>
            <w:r w:rsidR="00B139DE" w:rsidRPr="005439B1">
              <w:rPr>
                <w:rFonts w:ascii="Calibri" w:eastAsia="Calibri" w:hAnsi="Calibri"/>
                <w:color w:val="000000"/>
              </w:rPr>
              <w:t>b).</w:t>
            </w:r>
          </w:p>
          <w:p w14:paraId="3825CFD3" w14:textId="00C27C56" w:rsidR="00B139DE" w:rsidRPr="005439B1" w:rsidRDefault="00B14336" w:rsidP="007C21F1">
            <w:pPr>
              <w:spacing w:before="1"/>
              <w:ind w:left="720" w:right="72" w:hanging="360"/>
              <w:textAlignment w:val="baseline"/>
              <w:rPr>
                <w:rFonts w:ascii="Calibri" w:eastAsia="Calibri" w:hAnsi="Calibri"/>
                <w:color w:val="000000"/>
              </w:rPr>
            </w:pPr>
            <w:r w:rsidRPr="005439B1" w:rsidDel="00B14336">
              <w:rPr>
                <w:rFonts w:ascii="Calibri" w:eastAsia="Calibri" w:hAnsi="Calibri"/>
                <w:color w:val="000000"/>
              </w:rPr>
              <w:t xml:space="preserve"> </w:t>
            </w:r>
            <w:r w:rsidR="00B139DE" w:rsidRPr="005439B1">
              <w:rPr>
                <w:rFonts w:ascii="Calibri" w:eastAsia="Calibri" w:hAnsi="Calibri"/>
                <w:color w:val="000000"/>
              </w:rPr>
              <w:t>(7) The CEIP must be consistent with the most recent integrated resource plan or resource plan, as applicable, prepared by the utility under RCW 19.280.030.</w:t>
            </w:r>
          </w:p>
          <w:p w14:paraId="021E8F08" w14:textId="5A9AD2F8" w:rsidR="00B139DE" w:rsidRPr="00E276C0" w:rsidRDefault="00B139DE" w:rsidP="007C21F1">
            <w:pPr>
              <w:spacing w:before="1"/>
              <w:ind w:left="720" w:right="72" w:hanging="360"/>
              <w:textAlignment w:val="baseline"/>
              <w:rPr>
                <w:rFonts w:ascii="Calibri" w:eastAsia="Calibri" w:hAnsi="Calibri"/>
                <w:color w:val="000000"/>
              </w:rPr>
            </w:pPr>
            <w:r w:rsidRPr="005439B1">
              <w:rPr>
                <w:rFonts w:ascii="Calibri" w:eastAsia="Calibri" w:hAnsi="Calibri"/>
                <w:color w:val="000000"/>
              </w:rPr>
              <w:t>(8) The CEIP must be consistent with the utility's clean energy action plan developed under RCW 19.280.030(1) or other ten-year plan developed under RCW 19.280.030(5).(9</w:t>
            </w:r>
            <w:r w:rsidRPr="00E276C0">
              <w:rPr>
                <w:rFonts w:ascii="Calibri" w:eastAsia="Calibri" w:hAnsi="Calibri"/>
                <w:color w:val="000000"/>
              </w:rPr>
              <w:t xml:space="preserve">) The CEIP must identify the resource adequacy standard and measurement metrics adopted by the utility under </w:t>
            </w:r>
            <w:r w:rsidR="002A4FA1">
              <w:rPr>
                <w:rFonts w:ascii="Calibri" w:eastAsia="Calibri" w:hAnsi="Calibri"/>
                <w:color w:val="000000"/>
              </w:rPr>
              <w:t>WAC 194-40-210</w:t>
            </w:r>
            <w:r w:rsidRPr="00E276C0">
              <w:rPr>
                <w:rFonts w:ascii="Calibri" w:eastAsia="Calibri" w:hAnsi="Calibri"/>
                <w:color w:val="000000"/>
              </w:rPr>
              <w:t xml:space="preserve"> and used in establishing the targets in its CEIP. </w:t>
            </w:r>
          </w:p>
          <w:p w14:paraId="6961CEF7" w14:textId="009C4D30" w:rsidR="00B139DE" w:rsidRPr="00E276C0" w:rsidRDefault="00B139DE" w:rsidP="007C21F1">
            <w:pPr>
              <w:spacing w:before="1"/>
              <w:ind w:left="720" w:right="72" w:hanging="360"/>
              <w:textAlignment w:val="baseline"/>
              <w:rPr>
                <w:rFonts w:ascii="Calibri" w:eastAsia="Calibri" w:hAnsi="Calibri"/>
                <w:color w:val="000000"/>
              </w:rPr>
            </w:pPr>
            <w:r w:rsidRPr="00E276C0">
              <w:rPr>
                <w:rFonts w:ascii="Calibri" w:eastAsia="Calibri" w:hAnsi="Calibri"/>
                <w:color w:val="000000"/>
              </w:rPr>
              <w:lastRenderedPageBreak/>
              <w:t>(10) If the utility intends to comply using the 2% incremental cost approach specified  in WAC 194-40-230, the CEIP must include the information required in WAC 194-40-230(3) and, if applicable, the demonstration required in WAC 194-40-350(2).</w:t>
            </w:r>
          </w:p>
          <w:p w14:paraId="45102B2A" w14:textId="356F2AF2" w:rsidR="00B139DE" w:rsidRPr="005439B1" w:rsidRDefault="00B139DE" w:rsidP="007C21F1">
            <w:pPr>
              <w:spacing w:before="1"/>
              <w:ind w:left="720" w:right="72" w:hanging="360"/>
              <w:textAlignment w:val="baseline"/>
              <w:rPr>
                <w:rFonts w:ascii="Calibri" w:eastAsia="Calibri" w:hAnsi="Calibri"/>
                <w:color w:val="000000"/>
              </w:rPr>
            </w:pPr>
            <w:r w:rsidRPr="00E276C0">
              <w:rPr>
                <w:rFonts w:ascii="Calibri" w:eastAsia="Calibri" w:hAnsi="Calibri"/>
                <w:color w:val="000000"/>
              </w:rPr>
              <w:t xml:space="preserve">(11) Any utility that is not subject to RCW 19.280.030(1) may meet the requirements of this section through a simplified reporting form provided by Commerce. </w:t>
            </w:r>
          </w:p>
          <w:p w14:paraId="684DC840" w14:textId="77777777" w:rsidR="00B139DE" w:rsidRPr="002A4FA1" w:rsidRDefault="00B139DE" w:rsidP="007C21F1">
            <w:pPr>
              <w:textAlignment w:val="baseline"/>
              <w:rPr>
                <w:rFonts w:ascii="Calibri" w:eastAsia="Calibri" w:hAnsi="Calibri"/>
                <w:b/>
                <w:color w:val="000000"/>
                <w:spacing w:val="-2"/>
              </w:rPr>
            </w:pPr>
          </w:p>
        </w:tc>
      </w:tr>
      <w:tr w:rsidR="00B139DE" w14:paraId="307DE2E5" w14:textId="77777777" w:rsidTr="007248F0">
        <w:tc>
          <w:tcPr>
            <w:tcW w:w="9715" w:type="dxa"/>
            <w:shd w:val="clear" w:color="auto" w:fill="auto"/>
          </w:tcPr>
          <w:p w14:paraId="05D3BA1E" w14:textId="77777777" w:rsidR="00B139DE" w:rsidRDefault="00B139DE" w:rsidP="00F05436">
            <w:pPr>
              <w:spacing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lastRenderedPageBreak/>
              <w:t xml:space="preserve">WAC 194-40-210 – Resource adequacy standard </w:t>
            </w:r>
            <w:r>
              <w:rPr>
                <w:rFonts w:ascii="Calibri" w:eastAsia="Calibri" w:hAnsi="Calibri"/>
                <w:color w:val="000000"/>
                <w:spacing w:val="-3"/>
              </w:rPr>
              <w:t>[19.280.030]</w:t>
            </w:r>
          </w:p>
          <w:p w14:paraId="2697B371" w14:textId="24935A1E" w:rsidR="00B139DE" w:rsidRDefault="00B139DE" w:rsidP="00F05436">
            <w:pPr>
              <w:spacing w:before="203" w:line="308" w:lineRule="exact"/>
              <w:ind w:left="720" w:hanging="360"/>
              <w:textAlignment w:val="baseline"/>
              <w:rPr>
                <w:rFonts w:ascii="Calibri" w:eastAsia="Calibri" w:hAnsi="Calibri"/>
                <w:color w:val="000000"/>
              </w:rPr>
            </w:pPr>
            <w:r>
              <w:rPr>
                <w:rFonts w:ascii="Calibri" w:eastAsia="Calibri" w:hAnsi="Calibri"/>
                <w:color w:val="000000"/>
              </w:rPr>
              <w:t xml:space="preserve">(1) Each utility </w:t>
            </w:r>
            <w:r w:rsidR="00593A47">
              <w:rPr>
                <w:rFonts w:ascii="Calibri" w:eastAsia="Calibri" w:hAnsi="Calibri"/>
                <w:color w:val="000000"/>
              </w:rPr>
              <w:t xml:space="preserve">that is required to prepare an integrated resource plan under RCW 19.280.030(1) </w:t>
            </w:r>
            <w:r>
              <w:rPr>
                <w:rFonts w:ascii="Calibri" w:eastAsia="Calibri" w:hAnsi="Calibri"/>
                <w:color w:val="000000"/>
              </w:rPr>
              <w:t xml:space="preserve">must establish </w:t>
            </w:r>
            <w:r w:rsidR="00593A47">
              <w:rPr>
                <w:rFonts w:ascii="Calibri" w:eastAsia="Calibri" w:hAnsi="Calibri"/>
                <w:color w:val="000000"/>
              </w:rPr>
              <w:t xml:space="preserve">by January 1, 2022, </w:t>
            </w:r>
            <w:r>
              <w:rPr>
                <w:rFonts w:ascii="Calibri" w:eastAsia="Calibri" w:hAnsi="Calibri"/>
                <w:color w:val="000000"/>
              </w:rPr>
              <w:t xml:space="preserve">a standard for resource adequacy to be used in resource planning, including assessing the need and type of generating resources, </w:t>
            </w:r>
            <w:r w:rsidR="00593A47">
              <w:rPr>
                <w:rFonts w:ascii="Calibri" w:eastAsia="Calibri" w:hAnsi="Calibri"/>
                <w:color w:val="000000"/>
              </w:rPr>
              <w:t xml:space="preserve">storage resources, </w:t>
            </w:r>
            <w:r>
              <w:rPr>
                <w:rFonts w:ascii="Calibri" w:eastAsia="Calibri" w:hAnsi="Calibri"/>
                <w:color w:val="000000"/>
              </w:rPr>
              <w:t>demand response resources, and conservation resources. The resource adequacy standard must be consistent with prudent utility practices and relevant regulatory requirements and must include reasonable and nondiscriminatory:</w:t>
            </w:r>
          </w:p>
          <w:p w14:paraId="24CBC5C7" w14:textId="2D0D40A0" w:rsidR="00B139DE" w:rsidRDefault="00B139DE" w:rsidP="00F05436">
            <w:pPr>
              <w:numPr>
                <w:ilvl w:val="0"/>
                <w:numId w:val="13"/>
              </w:numPr>
              <w:tabs>
                <w:tab w:val="clear" w:pos="360"/>
                <w:tab w:val="left" w:pos="1440"/>
              </w:tabs>
              <w:spacing w:before="85" w:line="227" w:lineRule="exact"/>
              <w:ind w:left="1440" w:hanging="360"/>
              <w:textAlignment w:val="baseline"/>
              <w:rPr>
                <w:rFonts w:ascii="Calibri" w:eastAsia="Calibri" w:hAnsi="Calibri"/>
                <w:color w:val="000000"/>
              </w:rPr>
            </w:pPr>
            <w:r>
              <w:rPr>
                <w:rFonts w:ascii="Calibri" w:eastAsia="Calibri" w:hAnsi="Calibri"/>
                <w:color w:val="000000"/>
              </w:rPr>
              <w:t>Measures of adequacy, including peak load standards</w:t>
            </w:r>
            <w:r w:rsidR="00593A47">
              <w:rPr>
                <w:rFonts w:ascii="Calibri" w:eastAsia="Calibri" w:hAnsi="Calibri"/>
                <w:color w:val="000000"/>
              </w:rPr>
              <w:t xml:space="preserve"> and loss of load probability</w:t>
            </w:r>
            <w:r>
              <w:rPr>
                <w:rFonts w:ascii="Calibri" w:eastAsia="Calibri" w:hAnsi="Calibri"/>
                <w:color w:val="000000"/>
              </w:rPr>
              <w:t>,</w:t>
            </w:r>
          </w:p>
          <w:p w14:paraId="386F20F6" w14:textId="75A80B72" w:rsidR="00B139DE" w:rsidRDefault="00B139DE" w:rsidP="00F05436">
            <w:pPr>
              <w:numPr>
                <w:ilvl w:val="0"/>
                <w:numId w:val="13"/>
              </w:numPr>
              <w:tabs>
                <w:tab w:val="clear" w:pos="360"/>
                <w:tab w:val="left" w:pos="1440"/>
              </w:tabs>
              <w:spacing w:before="81" w:line="224" w:lineRule="exact"/>
              <w:ind w:left="1440" w:hanging="360"/>
              <w:textAlignment w:val="baseline"/>
              <w:rPr>
                <w:rFonts w:ascii="Calibri" w:eastAsia="Calibri" w:hAnsi="Calibri"/>
                <w:color w:val="000000"/>
              </w:rPr>
            </w:pPr>
            <w:r>
              <w:rPr>
                <w:rFonts w:ascii="Calibri" w:eastAsia="Calibri" w:hAnsi="Calibri"/>
                <w:color w:val="000000"/>
              </w:rPr>
              <w:t xml:space="preserve">Methods of measurement, </w:t>
            </w:r>
            <w:r w:rsidR="00593A47">
              <w:rPr>
                <w:rFonts w:ascii="Calibri" w:eastAsia="Calibri" w:hAnsi="Calibri"/>
                <w:color w:val="000000"/>
              </w:rPr>
              <w:t xml:space="preserve">including probabilistic assessments of resource adequacy at both a system and resource level, </w:t>
            </w:r>
            <w:r>
              <w:rPr>
                <w:rFonts w:ascii="Calibri" w:eastAsia="Calibri" w:hAnsi="Calibri"/>
                <w:color w:val="000000"/>
              </w:rPr>
              <w:t>and</w:t>
            </w:r>
          </w:p>
          <w:p w14:paraId="1A5043A7" w14:textId="0749DCCB" w:rsidR="00B139DE" w:rsidRDefault="00593A47" w:rsidP="00F05436">
            <w:pPr>
              <w:numPr>
                <w:ilvl w:val="0"/>
                <w:numId w:val="13"/>
              </w:numPr>
              <w:tabs>
                <w:tab w:val="clear" w:pos="360"/>
                <w:tab w:val="left" w:pos="1440"/>
              </w:tabs>
              <w:spacing w:before="4" w:line="308" w:lineRule="exact"/>
              <w:ind w:left="1440" w:right="504" w:hanging="360"/>
              <w:textAlignment w:val="baseline"/>
              <w:rPr>
                <w:rFonts w:ascii="Calibri" w:eastAsia="Calibri" w:hAnsi="Calibri"/>
                <w:color w:val="000000"/>
              </w:rPr>
            </w:pPr>
            <w:r>
              <w:rPr>
                <w:rFonts w:ascii="Calibri" w:eastAsia="Calibri" w:hAnsi="Calibri"/>
                <w:color w:val="000000"/>
              </w:rPr>
              <w:t>Probabilistic m</w:t>
            </w:r>
            <w:r w:rsidR="00B139DE">
              <w:rPr>
                <w:rFonts w:ascii="Calibri" w:eastAsia="Calibri" w:hAnsi="Calibri"/>
                <w:color w:val="000000"/>
              </w:rPr>
              <w:t>easures of resource contribution to resource adequacy</w:t>
            </w:r>
            <w:r>
              <w:rPr>
                <w:rFonts w:ascii="Calibri" w:eastAsia="Calibri" w:hAnsi="Calibri"/>
                <w:color w:val="000000"/>
              </w:rPr>
              <w:t xml:space="preserve"> such as effective load carrying capability</w:t>
            </w:r>
            <w:r w:rsidR="00B139DE">
              <w:rPr>
                <w:rFonts w:ascii="Calibri" w:eastAsia="Calibri" w:hAnsi="Calibri"/>
                <w:color w:val="000000"/>
              </w:rPr>
              <w:t xml:space="preserve"> applicable to all resources available to the utility, including but not limited to renewable, storage</w:t>
            </w:r>
            <w:r>
              <w:rPr>
                <w:rFonts w:ascii="Calibri" w:eastAsia="Calibri" w:hAnsi="Calibri"/>
                <w:color w:val="000000"/>
              </w:rPr>
              <w:t>, hybrid,</w:t>
            </w:r>
            <w:r w:rsidR="00B139DE">
              <w:rPr>
                <w:rFonts w:ascii="Calibri" w:eastAsia="Calibri" w:hAnsi="Calibri"/>
                <w:color w:val="000000"/>
              </w:rPr>
              <w:t xml:space="preserve"> and demand response resources.</w:t>
            </w:r>
          </w:p>
          <w:p w14:paraId="7B0C3105" w14:textId="5FE33538" w:rsidR="00B139DE" w:rsidRDefault="00B139DE" w:rsidP="00D158E6">
            <w:pPr>
              <w:spacing w:line="238" w:lineRule="exact"/>
              <w:textAlignment w:val="baseline"/>
              <w:rPr>
                <w:rFonts w:ascii="Calibri" w:eastAsia="Calibri" w:hAnsi="Calibri"/>
                <w:b/>
                <w:color w:val="000000"/>
                <w:spacing w:val="-2"/>
                <w:sz w:val="23"/>
              </w:rPr>
            </w:pPr>
            <w:r>
              <w:rPr>
                <w:rFonts w:ascii="Calibri" w:eastAsia="Calibri" w:hAnsi="Calibri"/>
                <w:color w:val="000000"/>
              </w:rPr>
              <w:t xml:space="preserve">(2) </w:t>
            </w:r>
            <w:r w:rsidR="002A4FA1">
              <w:rPr>
                <w:rFonts w:ascii="Calibri" w:eastAsia="Calibri" w:hAnsi="Calibri"/>
                <w:color w:val="000000"/>
              </w:rPr>
              <w:t xml:space="preserve">Each utility not subject to subsection (1) must identify by January 1, 2022, the resource adequacy standard </w:t>
            </w:r>
            <w:r w:rsidR="00E5178A">
              <w:rPr>
                <w:rFonts w:ascii="Calibri" w:eastAsia="Calibri" w:hAnsi="Calibri"/>
                <w:color w:val="000000"/>
              </w:rPr>
              <w:t>relied on</w:t>
            </w:r>
            <w:r w:rsidR="002A4FA1">
              <w:rPr>
                <w:rFonts w:ascii="Calibri" w:eastAsia="Calibri" w:hAnsi="Calibri"/>
                <w:color w:val="000000"/>
              </w:rPr>
              <w:t xml:space="preserve"> by the utility in preparing its resource plan and CEIP. </w:t>
            </w:r>
            <w:r w:rsidR="00593A47">
              <w:rPr>
                <w:rFonts w:ascii="Calibri" w:eastAsia="Calibri" w:hAnsi="Calibri"/>
                <w:color w:val="000000"/>
              </w:rPr>
              <w:t xml:space="preserve"> </w:t>
            </w:r>
          </w:p>
        </w:tc>
      </w:tr>
      <w:tr w:rsidR="00B139DE" w14:paraId="471635E9" w14:textId="77777777" w:rsidTr="007248F0">
        <w:tc>
          <w:tcPr>
            <w:tcW w:w="9715" w:type="dxa"/>
            <w:shd w:val="clear" w:color="auto" w:fill="auto"/>
          </w:tcPr>
          <w:p w14:paraId="687637D7" w14:textId="77777777" w:rsidR="00B139DE" w:rsidRDefault="00B139DE" w:rsidP="00A559FA">
            <w:pPr>
              <w:spacing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WAC 194-40-220 – Public input for planning </w:t>
            </w:r>
            <w:r>
              <w:rPr>
                <w:rFonts w:ascii="Calibri" w:eastAsia="Calibri" w:hAnsi="Calibri"/>
                <w:color w:val="000000"/>
                <w:spacing w:val="-3"/>
              </w:rPr>
              <w:t>[19.405.060]</w:t>
            </w:r>
          </w:p>
          <w:p w14:paraId="1A492C58" w14:textId="6AAE2A39" w:rsidR="00B139DE" w:rsidRDefault="00B139DE" w:rsidP="00A559FA">
            <w:pPr>
              <w:numPr>
                <w:ilvl w:val="0"/>
                <w:numId w:val="14"/>
              </w:numPr>
              <w:tabs>
                <w:tab w:val="clear" w:pos="360"/>
                <w:tab w:val="left" w:pos="720"/>
              </w:tabs>
              <w:spacing w:before="203" w:line="308" w:lineRule="exact"/>
              <w:ind w:left="720" w:right="72" w:hanging="360"/>
              <w:textAlignment w:val="baseline"/>
              <w:rPr>
                <w:rFonts w:ascii="Calibri" w:eastAsia="Calibri" w:hAnsi="Calibri"/>
                <w:color w:val="000000"/>
              </w:rPr>
            </w:pPr>
            <w:r>
              <w:rPr>
                <w:rFonts w:ascii="Calibri" w:eastAsia="Calibri" w:hAnsi="Calibri"/>
                <w:color w:val="000000"/>
              </w:rPr>
              <w:t>Each utility must provide reasonable opportunit</w:t>
            </w:r>
            <w:r w:rsidR="00371B70">
              <w:rPr>
                <w:rFonts w:ascii="Calibri" w:eastAsia="Calibri" w:hAnsi="Calibri"/>
                <w:color w:val="000000"/>
              </w:rPr>
              <w:t>ies</w:t>
            </w:r>
            <w:r>
              <w:rPr>
                <w:rFonts w:ascii="Calibri" w:eastAsia="Calibri" w:hAnsi="Calibri"/>
                <w:color w:val="000000"/>
              </w:rPr>
              <w:t xml:space="preserve"> for its customers and interested stakeholders to provide input to the utility during the development of</w:t>
            </w:r>
            <w:r w:rsidR="00371B70">
              <w:rPr>
                <w:rFonts w:ascii="Calibri" w:eastAsia="Calibri" w:hAnsi="Calibri"/>
                <w:color w:val="000000"/>
              </w:rPr>
              <w:t>,</w:t>
            </w:r>
            <w:r>
              <w:rPr>
                <w:rFonts w:ascii="Calibri" w:eastAsia="Calibri" w:hAnsi="Calibri"/>
                <w:color w:val="000000"/>
              </w:rPr>
              <w:t xml:space="preserve"> and prior to the adoption</w:t>
            </w:r>
            <w:r w:rsidR="00371B70">
              <w:rPr>
                <w:rFonts w:ascii="Calibri" w:eastAsia="Calibri" w:hAnsi="Calibri"/>
                <w:color w:val="000000"/>
              </w:rPr>
              <w:t xml:space="preserve"> of, </w:t>
            </w:r>
            <w:r w:rsidR="00371B70" w:rsidRPr="00371B70">
              <w:rPr>
                <w:rFonts w:ascii="Calibri" w:eastAsia="Calibri" w:hAnsi="Calibri"/>
                <w:color w:val="000000"/>
              </w:rPr>
              <w:t xml:space="preserve">plans identifying actions to comply with </w:t>
            </w:r>
            <w:r w:rsidR="00371B70">
              <w:rPr>
                <w:rFonts w:ascii="Calibri" w:eastAsia="Calibri" w:hAnsi="Calibri"/>
                <w:color w:val="000000"/>
              </w:rPr>
              <w:t>RCW 19.405.</w:t>
            </w:r>
            <w:r w:rsidR="00371B70" w:rsidRPr="00371B70">
              <w:rPr>
                <w:rFonts w:ascii="Calibri" w:eastAsia="Calibri" w:hAnsi="Calibri"/>
                <w:color w:val="000000"/>
              </w:rPr>
              <w:t xml:space="preserve">040(8) and other requirements of </w:t>
            </w:r>
            <w:r w:rsidR="00371B70">
              <w:rPr>
                <w:rFonts w:ascii="Calibri" w:eastAsia="Calibri" w:hAnsi="Calibri"/>
                <w:color w:val="000000"/>
              </w:rPr>
              <w:t>RCW 19.405.</w:t>
            </w:r>
            <w:r w:rsidR="00371B70" w:rsidRPr="00371B70">
              <w:rPr>
                <w:rFonts w:ascii="Calibri" w:eastAsia="Calibri" w:hAnsi="Calibri"/>
                <w:color w:val="000000"/>
              </w:rPr>
              <w:t xml:space="preserve">040 and </w:t>
            </w:r>
            <w:r w:rsidR="00371B70">
              <w:rPr>
                <w:rFonts w:ascii="Calibri" w:eastAsia="Calibri" w:hAnsi="Calibri"/>
                <w:color w:val="000000"/>
              </w:rPr>
              <w:t>RCW 19.405.</w:t>
            </w:r>
            <w:r w:rsidR="00371B70" w:rsidRPr="00371B70">
              <w:rPr>
                <w:rFonts w:ascii="Calibri" w:eastAsia="Calibri" w:hAnsi="Calibri"/>
                <w:color w:val="000000"/>
              </w:rPr>
              <w:t>050. This requirement applies to a u</w:t>
            </w:r>
            <w:r w:rsidR="00371B70">
              <w:rPr>
                <w:rFonts w:ascii="Calibri" w:eastAsia="Calibri" w:hAnsi="Calibri"/>
                <w:color w:val="000000"/>
              </w:rPr>
              <w:t>tility’s development of its clean energy implementation plan</w:t>
            </w:r>
            <w:r w:rsidR="00371B70" w:rsidRPr="00371B70">
              <w:rPr>
                <w:rFonts w:ascii="Calibri" w:eastAsia="Calibri" w:hAnsi="Calibri"/>
                <w:color w:val="000000"/>
              </w:rPr>
              <w:t>, its integrated resource plan or resource plan, as applicable, and its clean energy action plan or 10 year action plan, as applicable.</w:t>
            </w:r>
          </w:p>
          <w:p w14:paraId="0436DB67" w14:textId="3696C87D" w:rsidR="00B139DE" w:rsidRDefault="00B139DE" w:rsidP="00A559FA">
            <w:pPr>
              <w:numPr>
                <w:ilvl w:val="0"/>
                <w:numId w:val="14"/>
              </w:numPr>
              <w:tabs>
                <w:tab w:val="clear" w:pos="360"/>
                <w:tab w:val="left" w:pos="720"/>
              </w:tabs>
              <w:spacing w:before="3" w:line="308" w:lineRule="exact"/>
              <w:ind w:left="720" w:right="504" w:hanging="360"/>
              <w:textAlignment w:val="baseline"/>
              <w:rPr>
                <w:rFonts w:ascii="Calibri" w:eastAsia="Calibri" w:hAnsi="Calibri"/>
                <w:color w:val="000000"/>
              </w:rPr>
            </w:pPr>
            <w:r>
              <w:rPr>
                <w:rFonts w:ascii="Calibri" w:eastAsia="Calibri" w:hAnsi="Calibri"/>
                <w:color w:val="000000"/>
              </w:rPr>
              <w:t>In assessing whether a public input opportunity is reasonable, the utility must consider barriers to public participation due to language, cultural, economic</w:t>
            </w:r>
            <w:r w:rsidR="00EF3446">
              <w:rPr>
                <w:rFonts w:ascii="Calibri" w:eastAsia="Calibri" w:hAnsi="Calibri"/>
                <w:color w:val="000000"/>
              </w:rPr>
              <w:t>, technological,</w:t>
            </w:r>
            <w:r>
              <w:rPr>
                <w:rFonts w:ascii="Calibri" w:eastAsia="Calibri" w:hAnsi="Calibri"/>
                <w:color w:val="000000"/>
              </w:rPr>
              <w:t xml:space="preserve"> or other factors</w:t>
            </w:r>
            <w:r w:rsidR="00032544">
              <w:rPr>
                <w:rFonts w:ascii="Calibri" w:eastAsia="Calibri" w:hAnsi="Calibri"/>
                <w:color w:val="000000"/>
              </w:rPr>
              <w:t xml:space="preserve"> consistent with community needs</w:t>
            </w:r>
            <w:r>
              <w:rPr>
                <w:rFonts w:ascii="Calibri" w:eastAsia="Calibri" w:hAnsi="Calibri"/>
                <w:color w:val="000000"/>
              </w:rPr>
              <w:t>.</w:t>
            </w:r>
          </w:p>
          <w:p w14:paraId="478BB112" w14:textId="77777777" w:rsidR="00B139DE" w:rsidRDefault="00B139DE" w:rsidP="00D158E6">
            <w:pPr>
              <w:spacing w:line="238" w:lineRule="exact"/>
              <w:textAlignment w:val="baseline"/>
              <w:rPr>
                <w:rFonts w:ascii="Calibri" w:eastAsia="Calibri" w:hAnsi="Calibri"/>
                <w:b/>
                <w:color w:val="000000"/>
                <w:spacing w:val="-2"/>
                <w:sz w:val="23"/>
              </w:rPr>
            </w:pPr>
          </w:p>
        </w:tc>
      </w:tr>
    </w:tbl>
    <w:p w14:paraId="6B8E6361" w14:textId="77777777" w:rsidR="00C70A2D" w:rsidRDefault="00C70A2D">
      <w:r>
        <w:br w:type="page"/>
      </w:r>
    </w:p>
    <w:tbl>
      <w:tblPr>
        <w:tblStyle w:val="TableGrid"/>
        <w:tblW w:w="9715" w:type="dxa"/>
        <w:tblLook w:val="04A0" w:firstRow="1" w:lastRow="0" w:firstColumn="1" w:lastColumn="0" w:noHBand="0" w:noVBand="1"/>
      </w:tblPr>
      <w:tblGrid>
        <w:gridCol w:w="9715"/>
      </w:tblGrid>
      <w:tr w:rsidR="00B139DE" w14:paraId="7A96E488" w14:textId="77777777" w:rsidTr="007248F0">
        <w:tc>
          <w:tcPr>
            <w:tcW w:w="9715" w:type="dxa"/>
            <w:shd w:val="clear" w:color="auto" w:fill="auto"/>
          </w:tcPr>
          <w:p w14:paraId="3A1F020A" w14:textId="317B8AF3" w:rsidR="00B139DE" w:rsidRPr="00E45931" w:rsidRDefault="00B139DE" w:rsidP="00E45931">
            <w:pPr>
              <w:textAlignment w:val="baseline"/>
              <w:rPr>
                <w:rFonts w:ascii="Calibri" w:eastAsia="Calibri" w:hAnsi="Calibri"/>
                <w:b/>
                <w:color w:val="000000"/>
                <w:spacing w:val="-4"/>
              </w:rPr>
            </w:pPr>
            <w:r w:rsidRPr="00032544">
              <w:rPr>
                <w:rFonts w:ascii="Calibri" w:eastAsia="Calibri" w:hAnsi="Calibri"/>
                <w:b/>
                <w:color w:val="000000"/>
                <w:spacing w:val="-4"/>
              </w:rPr>
              <w:lastRenderedPageBreak/>
              <w:t xml:space="preserve">WAC 194-40-230 – Compliance using 2% incremental cost </w:t>
            </w:r>
            <w:r w:rsidR="005439B1">
              <w:rPr>
                <w:rFonts w:ascii="Calibri" w:eastAsia="Calibri" w:hAnsi="Calibri"/>
                <w:b/>
                <w:color w:val="000000"/>
                <w:spacing w:val="-4"/>
              </w:rPr>
              <w:t>of compliance</w:t>
            </w:r>
          </w:p>
          <w:p w14:paraId="529DFDAB" w14:textId="44A9C830" w:rsidR="00B139DE" w:rsidRPr="005439B1" w:rsidRDefault="00B139DE" w:rsidP="00E45931">
            <w:pPr>
              <w:spacing w:before="199"/>
              <w:ind w:left="360" w:hanging="360"/>
              <w:textAlignment w:val="baseline"/>
              <w:rPr>
                <w:rFonts w:ascii="Calibri" w:eastAsia="Calibri" w:hAnsi="Calibri"/>
                <w:color w:val="000000"/>
              </w:rPr>
            </w:pPr>
            <w:r w:rsidRPr="005439B1">
              <w:rPr>
                <w:rFonts w:ascii="Calibri" w:eastAsia="Calibri" w:hAnsi="Calibri"/>
                <w:color w:val="000000"/>
              </w:rPr>
              <w:t>(1) For any interim performance period or GHG neutral compliance period in which a utility relies on RCW 19.405.060(4)(a) to meet an interim target during an interim performance period or as the basis for compliance with the standard under RCW 19.405.040(1) or RCW 19.405.050(1), the utility must:</w:t>
            </w:r>
          </w:p>
          <w:p w14:paraId="12196044" w14:textId="21356A37" w:rsidR="00B139DE" w:rsidRPr="005439B1" w:rsidRDefault="00B139DE" w:rsidP="00E45931">
            <w:pPr>
              <w:tabs>
                <w:tab w:val="left" w:pos="360"/>
                <w:tab w:val="left" w:pos="1080"/>
              </w:tabs>
              <w:spacing w:before="7"/>
              <w:ind w:left="720" w:right="216"/>
              <w:textAlignment w:val="baseline"/>
              <w:rPr>
                <w:rFonts w:ascii="Calibri" w:eastAsia="Calibri" w:hAnsi="Calibri"/>
                <w:color w:val="000000"/>
              </w:rPr>
            </w:pPr>
            <w:r w:rsidRPr="00E276C0">
              <w:rPr>
                <w:rFonts w:ascii="Calibri" w:eastAsia="Calibri" w:hAnsi="Calibri"/>
                <w:color w:val="000000"/>
              </w:rPr>
              <w:t>(a) Document, as provided in this rule, incremental expenditures that are directly attributable to actions necessary to comply with the requirements of RCW 19.405.040 and 19.405.050</w:t>
            </w:r>
            <w:r w:rsidRPr="005439B1">
              <w:rPr>
                <w:rFonts w:ascii="Calibri" w:eastAsia="Calibri" w:hAnsi="Calibri"/>
                <w:color w:val="000000"/>
              </w:rPr>
              <w:t>; and</w:t>
            </w:r>
          </w:p>
          <w:p w14:paraId="728ECDB1" w14:textId="29A26F04" w:rsidR="00B139DE" w:rsidRPr="005439B1" w:rsidRDefault="00B139DE" w:rsidP="00E45931">
            <w:pPr>
              <w:tabs>
                <w:tab w:val="left" w:pos="360"/>
                <w:tab w:val="left" w:pos="1080"/>
              </w:tabs>
              <w:spacing w:before="6"/>
              <w:ind w:left="720"/>
              <w:textAlignment w:val="baseline"/>
              <w:rPr>
                <w:rFonts w:ascii="Calibri" w:eastAsia="Calibri" w:hAnsi="Calibri"/>
                <w:color w:val="000000"/>
                <w:spacing w:val="1"/>
              </w:rPr>
            </w:pPr>
            <w:r w:rsidRPr="005439B1">
              <w:rPr>
                <w:rFonts w:ascii="Calibri" w:eastAsia="Calibri" w:hAnsi="Calibri"/>
                <w:color w:val="000000"/>
                <w:spacing w:val="1"/>
              </w:rPr>
              <w:t>(b) Demonstrate that the average annual increase in incremental expenditures, as a percentage of retail revenue requirement in each prior year, equals or exceeds 2 percent over the period.</w:t>
            </w:r>
            <w:r w:rsidR="00591FBF">
              <w:rPr>
                <w:rStyle w:val="FootnoteTextChar"/>
                <w:rFonts w:ascii="Calibri" w:eastAsia="Calibri" w:hAnsi="Calibri"/>
                <w:color w:val="000000"/>
              </w:rPr>
              <w:t xml:space="preserve"> </w:t>
            </w:r>
            <w:r w:rsidR="00591FBF">
              <w:rPr>
                <w:rStyle w:val="FootnoteReference"/>
                <w:rFonts w:ascii="Calibri" w:eastAsia="Calibri" w:hAnsi="Calibri"/>
                <w:color w:val="000000"/>
              </w:rPr>
              <w:footnoteReference w:id="2"/>
            </w:r>
          </w:p>
          <w:p w14:paraId="6B75F9F5" w14:textId="77777777" w:rsidR="00B139DE" w:rsidRPr="00E276C0" w:rsidRDefault="00B139DE" w:rsidP="00E45931">
            <w:pPr>
              <w:spacing w:before="6"/>
              <w:ind w:left="360" w:hanging="360"/>
              <w:textAlignment w:val="baseline"/>
              <w:rPr>
                <w:rFonts w:ascii="Calibri" w:eastAsia="Calibri" w:hAnsi="Calibri"/>
                <w:color w:val="000000"/>
              </w:rPr>
            </w:pPr>
            <w:r w:rsidRPr="005439B1">
              <w:rPr>
                <w:rFonts w:ascii="Calibri" w:eastAsia="Calibri" w:hAnsi="Calibri"/>
                <w:color w:val="000000"/>
              </w:rPr>
              <w:t>(2) For the purposes of compliance using RCW 19.405.060(4)(a), a resource acquisition or expenditure is directly attributable to actions necessary to comply with the requirements of RCW 19.405.040 and RCW 19.405.050 only if all of the following conditions are met:</w:t>
            </w:r>
          </w:p>
          <w:p w14:paraId="2803132F" w14:textId="4071B526" w:rsidR="00B139DE" w:rsidRPr="00E276C0" w:rsidRDefault="00B139DE" w:rsidP="00E45931">
            <w:pPr>
              <w:tabs>
                <w:tab w:val="left" w:pos="360"/>
                <w:tab w:val="left" w:pos="1080"/>
              </w:tabs>
              <w:spacing w:before="5"/>
              <w:ind w:left="720"/>
              <w:textAlignment w:val="baseline"/>
              <w:rPr>
                <w:rFonts w:ascii="Calibri" w:eastAsia="Calibri" w:hAnsi="Calibri"/>
                <w:color w:val="000000"/>
              </w:rPr>
            </w:pPr>
            <w:r w:rsidRPr="00E276C0">
              <w:rPr>
                <w:rFonts w:ascii="Calibri" w:eastAsia="Calibri" w:hAnsi="Calibri"/>
                <w:color w:val="000000"/>
              </w:rPr>
              <w:t>(a) The resource acquisition or other expenditure is made during the interim performance period or GHG neutral compliance period;</w:t>
            </w:r>
          </w:p>
          <w:p w14:paraId="1903AA33" w14:textId="0EB41EE9" w:rsidR="00B139DE" w:rsidRPr="00E276C0" w:rsidRDefault="00B139DE" w:rsidP="00E45931">
            <w:pPr>
              <w:tabs>
                <w:tab w:val="left" w:pos="360"/>
                <w:tab w:val="left" w:pos="1080"/>
              </w:tabs>
              <w:spacing w:before="4"/>
              <w:ind w:left="720" w:right="72"/>
              <w:textAlignment w:val="baseline"/>
              <w:rPr>
                <w:rFonts w:ascii="Calibri" w:eastAsia="Calibri" w:hAnsi="Calibri"/>
                <w:color w:val="000000"/>
              </w:rPr>
            </w:pPr>
            <w:r w:rsidRPr="00E276C0">
              <w:rPr>
                <w:rFonts w:ascii="Calibri" w:eastAsia="Calibri" w:hAnsi="Calibri"/>
                <w:color w:val="000000"/>
              </w:rPr>
              <w:t>(b) The resource acquisition or other expenditure is part of the lowest reasonable cost and reasonably available portfolio of resources that results in compliance with RCW 19.405.040 and RCW 19.405.050;</w:t>
            </w:r>
          </w:p>
          <w:p w14:paraId="3CA51BE0" w14:textId="2BF3FF58" w:rsidR="00B139DE" w:rsidRPr="00E276C0" w:rsidRDefault="00B139DE" w:rsidP="00E45931">
            <w:pPr>
              <w:tabs>
                <w:tab w:val="left" w:pos="360"/>
                <w:tab w:val="left" w:pos="1080"/>
              </w:tabs>
              <w:spacing w:before="5"/>
              <w:ind w:left="720" w:right="72"/>
              <w:textAlignment w:val="baseline"/>
              <w:rPr>
                <w:rFonts w:ascii="Calibri" w:eastAsia="Calibri" w:hAnsi="Calibri"/>
                <w:color w:val="000000"/>
                <w:spacing w:val="-1"/>
              </w:rPr>
            </w:pPr>
            <w:r w:rsidRPr="00E276C0">
              <w:rPr>
                <w:rFonts w:ascii="Calibri" w:eastAsia="Calibri" w:hAnsi="Calibri"/>
                <w:color w:val="000000"/>
                <w:spacing w:val="-1"/>
              </w:rPr>
              <w:t>(c) The resource acquisition or other expenditure is additional to the costs that would be incurred for the lowest reasonable cost and reasonably available resource portfolio that would have been selected in the absence of RCW 19.405.040 and RCW 19.405.050; and</w:t>
            </w:r>
          </w:p>
          <w:p w14:paraId="252B46CE" w14:textId="32160529" w:rsidR="00B139DE" w:rsidRPr="00E276C0" w:rsidRDefault="00B139DE" w:rsidP="00E45931">
            <w:pPr>
              <w:tabs>
                <w:tab w:val="left" w:pos="360"/>
                <w:tab w:val="left" w:pos="1080"/>
              </w:tabs>
              <w:spacing w:before="24"/>
              <w:ind w:left="720" w:right="72"/>
              <w:textAlignment w:val="baseline"/>
              <w:rPr>
                <w:rFonts w:ascii="Calibri" w:eastAsia="Calibri" w:hAnsi="Calibri"/>
                <w:color w:val="000000"/>
              </w:rPr>
            </w:pPr>
            <w:r w:rsidRPr="00E276C0">
              <w:rPr>
                <w:rFonts w:ascii="Calibri" w:eastAsia="Calibri" w:hAnsi="Calibri"/>
                <w:color w:val="000000"/>
              </w:rPr>
              <w:t>(d) The resource acquisition or other expenditure is not required to meet any statutory, regulatory, or contractual requirement or any provision of Chapter 19.405 RCW other than sections RCW 19.405.040 or 19.405.050.</w:t>
            </w:r>
          </w:p>
          <w:p w14:paraId="08480BEE" w14:textId="77777777" w:rsidR="00B139DE" w:rsidRPr="00E276C0" w:rsidRDefault="00B139DE" w:rsidP="00E45931">
            <w:pPr>
              <w:spacing w:before="68"/>
              <w:textAlignment w:val="baseline"/>
              <w:rPr>
                <w:rFonts w:ascii="Calibri" w:eastAsia="Calibri" w:hAnsi="Calibri"/>
                <w:color w:val="000000"/>
              </w:rPr>
            </w:pPr>
            <w:r w:rsidRPr="00E276C0">
              <w:rPr>
                <w:rFonts w:ascii="Calibri" w:eastAsia="Calibri" w:hAnsi="Calibri"/>
                <w:color w:val="000000"/>
              </w:rPr>
              <w:t>(3) The utility must include in its CEIP for the period the following information:</w:t>
            </w:r>
          </w:p>
          <w:p w14:paraId="4EFE5AB0" w14:textId="6E4EE8F4" w:rsidR="00B139DE" w:rsidRPr="00E276C0" w:rsidRDefault="00B139DE" w:rsidP="00E45931">
            <w:pPr>
              <w:tabs>
                <w:tab w:val="left" w:pos="360"/>
                <w:tab w:val="left" w:pos="1080"/>
              </w:tabs>
              <w:ind w:left="720" w:right="72"/>
              <w:textAlignment w:val="baseline"/>
              <w:rPr>
                <w:rFonts w:ascii="Calibri" w:eastAsia="Calibri" w:hAnsi="Calibri"/>
                <w:color w:val="000000"/>
              </w:rPr>
            </w:pPr>
            <w:r w:rsidRPr="00E276C0">
              <w:rPr>
                <w:rFonts w:ascii="Calibri" w:eastAsia="Calibri" w:hAnsi="Calibri"/>
                <w:color w:val="000000"/>
              </w:rPr>
              <w:t>(a) Identification of all resource acquisitions or other expenditures that it intends to make during the period in order to comply with the requirements of RCW 19.405.040 and 19.405.050;</w:t>
            </w:r>
          </w:p>
          <w:p w14:paraId="0EE9F8BE" w14:textId="019835BF" w:rsidR="00B139DE" w:rsidRPr="00E276C0" w:rsidRDefault="00B139DE" w:rsidP="00E45931">
            <w:pPr>
              <w:tabs>
                <w:tab w:val="left" w:pos="360"/>
                <w:tab w:val="left" w:pos="1080"/>
              </w:tabs>
              <w:spacing w:before="6"/>
              <w:ind w:left="720" w:right="72"/>
              <w:textAlignment w:val="baseline"/>
              <w:rPr>
                <w:rFonts w:ascii="Calibri" w:eastAsia="Calibri" w:hAnsi="Calibri"/>
                <w:color w:val="000000"/>
              </w:rPr>
            </w:pPr>
            <w:r w:rsidRPr="00E276C0">
              <w:rPr>
                <w:rFonts w:ascii="Calibri" w:eastAsia="Calibri" w:hAnsi="Calibri"/>
                <w:color w:val="000000"/>
              </w:rPr>
              <w:t>(b) Demonstration that the resource acquisitions or expenditures identified in subsection (a) are directly attributable to actions necessary to comply with the requirements of RCW 19.405.040 and 19.405.050, and</w:t>
            </w:r>
          </w:p>
          <w:p w14:paraId="40F84C97" w14:textId="692EAFEB" w:rsidR="00B139DE" w:rsidRPr="00E276C0" w:rsidRDefault="00B139DE" w:rsidP="00E45931">
            <w:pPr>
              <w:tabs>
                <w:tab w:val="left" w:pos="360"/>
                <w:tab w:val="left" w:pos="1080"/>
              </w:tabs>
              <w:spacing w:before="5"/>
              <w:ind w:left="720" w:right="72"/>
              <w:textAlignment w:val="baseline"/>
              <w:rPr>
                <w:rFonts w:ascii="Calibri" w:eastAsia="Calibri" w:hAnsi="Calibri"/>
                <w:color w:val="000000"/>
              </w:rPr>
            </w:pPr>
            <w:r w:rsidRPr="00E276C0">
              <w:rPr>
                <w:rFonts w:ascii="Calibri" w:eastAsia="Calibri" w:hAnsi="Calibri"/>
                <w:color w:val="000000"/>
              </w:rPr>
              <w:t>(c) Documentation of the expected cost of the utility’s planned resource portfolio and the expected cost of the alternative lowest reasonable cost and reasonably available portfolio of investments.</w:t>
            </w:r>
          </w:p>
          <w:p w14:paraId="109F2635" w14:textId="77777777" w:rsidR="00B139DE" w:rsidRPr="00E276C0" w:rsidRDefault="00B139DE" w:rsidP="00E45931">
            <w:pPr>
              <w:spacing w:before="82"/>
              <w:textAlignment w:val="baseline"/>
              <w:rPr>
                <w:rFonts w:ascii="Calibri" w:eastAsia="Calibri" w:hAnsi="Calibri"/>
                <w:color w:val="000000"/>
              </w:rPr>
            </w:pPr>
            <w:r w:rsidRPr="00E276C0">
              <w:rPr>
                <w:rFonts w:ascii="Calibri" w:eastAsia="Calibri" w:hAnsi="Calibri"/>
                <w:color w:val="000000"/>
              </w:rPr>
              <w:t>(4) The utility must include in the compliance report required by WAC 194-40-040 the following:</w:t>
            </w:r>
          </w:p>
          <w:p w14:paraId="44898191" w14:textId="4AE62596" w:rsidR="00B139DE" w:rsidRPr="00E276C0" w:rsidRDefault="00B139DE" w:rsidP="00E45931">
            <w:pPr>
              <w:tabs>
                <w:tab w:val="left" w:pos="360"/>
                <w:tab w:val="left" w:pos="1080"/>
              </w:tabs>
              <w:ind w:left="720" w:right="72"/>
              <w:textAlignment w:val="baseline"/>
              <w:rPr>
                <w:rFonts w:ascii="Calibri" w:eastAsia="Calibri" w:hAnsi="Calibri"/>
                <w:color w:val="000000"/>
              </w:rPr>
            </w:pPr>
            <w:r w:rsidRPr="00E276C0">
              <w:rPr>
                <w:rFonts w:ascii="Calibri" w:eastAsia="Calibri" w:hAnsi="Calibri"/>
                <w:color w:val="000000"/>
              </w:rPr>
              <w:t>(a) Documentation by year of the actual and lowest reasonable cost expenditures incurred during the period for the resource acquisitions or other expenditures identified in subsection (1)(a).</w:t>
            </w:r>
          </w:p>
          <w:p w14:paraId="6A3C67FF" w14:textId="5E5181CF" w:rsidR="00B139DE" w:rsidRPr="00E276C0" w:rsidRDefault="00B139DE" w:rsidP="00E45931">
            <w:pPr>
              <w:tabs>
                <w:tab w:val="left" w:pos="360"/>
                <w:tab w:val="left" w:pos="1080"/>
              </w:tabs>
              <w:spacing w:before="6"/>
              <w:ind w:left="720" w:right="72"/>
              <w:textAlignment w:val="baseline"/>
              <w:rPr>
                <w:rFonts w:ascii="Calibri" w:eastAsia="Calibri" w:hAnsi="Calibri"/>
                <w:color w:val="000000"/>
              </w:rPr>
            </w:pPr>
            <w:r w:rsidRPr="00E276C0">
              <w:rPr>
                <w:rFonts w:ascii="Calibri" w:eastAsia="Calibri" w:hAnsi="Calibri"/>
                <w:color w:val="000000"/>
              </w:rPr>
              <w:t>(b) Documentation by year of the cost that that the utility would have incurred to acquire the alternative lowest reasonable cost and reasonably available portfolio of investments.</w:t>
            </w:r>
          </w:p>
          <w:p w14:paraId="2A6E970D" w14:textId="2B194767" w:rsidR="00B139DE" w:rsidRPr="00E276C0" w:rsidRDefault="00B139DE" w:rsidP="00E45931">
            <w:pPr>
              <w:tabs>
                <w:tab w:val="left" w:pos="360"/>
                <w:tab w:val="left" w:pos="1080"/>
              </w:tabs>
              <w:spacing w:before="6"/>
              <w:ind w:left="720" w:right="72"/>
              <w:textAlignment w:val="baseline"/>
              <w:rPr>
                <w:rFonts w:ascii="Calibri" w:eastAsia="Calibri" w:hAnsi="Calibri"/>
                <w:color w:val="000000"/>
              </w:rPr>
            </w:pPr>
            <w:r w:rsidRPr="00E276C0">
              <w:rPr>
                <w:rFonts w:ascii="Calibri" w:eastAsia="Calibri" w:hAnsi="Calibri"/>
                <w:color w:val="000000"/>
              </w:rPr>
              <w:lastRenderedPageBreak/>
              <w:t>(c) A calculation, for each year of the period and as an average for the period, of the annual increase in incremental costs directly attributable to actions necessary to comply with the requirements of RCW 19.405.040 and RCW 19.405.050, as a percentage of the retail revenue requirement in the year preceding that year.</w:t>
            </w:r>
          </w:p>
          <w:p w14:paraId="6FA59966" w14:textId="77777777" w:rsidR="00B139DE" w:rsidRPr="00E276C0" w:rsidRDefault="00B139DE" w:rsidP="00E45931">
            <w:pPr>
              <w:numPr>
                <w:ilvl w:val="0"/>
                <w:numId w:val="19"/>
              </w:numPr>
              <w:ind w:left="360" w:right="72" w:hanging="360"/>
              <w:textAlignment w:val="baseline"/>
              <w:rPr>
                <w:rFonts w:ascii="Calibri" w:eastAsia="Calibri" w:hAnsi="Calibri"/>
                <w:color w:val="000000"/>
              </w:rPr>
            </w:pPr>
            <w:r w:rsidRPr="00E276C0">
              <w:rPr>
                <w:rFonts w:ascii="Calibri" w:eastAsia="Calibri" w:hAnsi="Calibri"/>
                <w:color w:val="000000"/>
              </w:rPr>
              <w:t xml:space="preserve">If a resource acquisition or an alternative resource has a useful life or contract duration of greater than one year, expenditures on that resource must be allocated over the expected useful life or contract duration using a </w:t>
            </w:r>
            <w:proofErr w:type="spellStart"/>
            <w:r w:rsidRPr="00E276C0">
              <w:rPr>
                <w:rFonts w:ascii="Calibri" w:eastAsia="Calibri" w:hAnsi="Calibri"/>
                <w:color w:val="000000"/>
              </w:rPr>
              <w:t>levelized</w:t>
            </w:r>
            <w:proofErr w:type="spellEnd"/>
            <w:r w:rsidRPr="00E276C0">
              <w:rPr>
                <w:rFonts w:ascii="Calibri" w:eastAsia="Calibri" w:hAnsi="Calibri"/>
                <w:color w:val="000000"/>
              </w:rPr>
              <w:t xml:space="preserve"> cost or fixed charge factor.</w:t>
            </w:r>
          </w:p>
          <w:p w14:paraId="3EFAC96D" w14:textId="77777777" w:rsidR="00B139DE" w:rsidRPr="00E276C0" w:rsidRDefault="00B139DE" w:rsidP="00E45931">
            <w:pPr>
              <w:numPr>
                <w:ilvl w:val="0"/>
                <w:numId w:val="19"/>
              </w:numPr>
              <w:ind w:left="360" w:right="72" w:hanging="360"/>
              <w:textAlignment w:val="baseline"/>
              <w:rPr>
                <w:rFonts w:ascii="Calibri" w:eastAsia="Calibri" w:hAnsi="Calibri"/>
                <w:color w:val="000000"/>
              </w:rPr>
            </w:pPr>
            <w:r w:rsidRPr="00E276C0">
              <w:rPr>
                <w:rFonts w:ascii="Calibri" w:eastAsia="Calibri" w:hAnsi="Calibri"/>
                <w:color w:val="000000"/>
              </w:rPr>
              <w:t>The CEIP must substantiate the information required in subsection (3) using a comprehensive assessment of alternative resource portfolios, such as an integrated resource plan prepared in compliance with Chapter 19.280 RCW.</w:t>
            </w:r>
          </w:p>
          <w:p w14:paraId="360E3FAD" w14:textId="77777777" w:rsidR="00B139DE" w:rsidRPr="00E276C0" w:rsidRDefault="00B139DE" w:rsidP="00E45931">
            <w:pPr>
              <w:numPr>
                <w:ilvl w:val="0"/>
                <w:numId w:val="19"/>
              </w:numPr>
              <w:ind w:left="360" w:right="72" w:hanging="360"/>
              <w:textAlignment w:val="baseline"/>
              <w:rPr>
                <w:rFonts w:ascii="Calibri" w:eastAsia="Calibri" w:hAnsi="Calibri"/>
                <w:color w:val="000000"/>
              </w:rPr>
            </w:pPr>
            <w:r w:rsidRPr="00E276C0">
              <w:rPr>
                <w:rFonts w:ascii="Calibri" w:eastAsia="Calibri" w:hAnsi="Calibri"/>
                <w:color w:val="000000"/>
              </w:rPr>
              <w:t xml:space="preserve">A utility must include in all cost calculations under this rule the effects on resource selection and acquisition of the social cost of greenhouse gas emissions cost adder requirement under WCW 194-40-110. A utility may not include in the cost calculations any greenhouse gas emissions costs, fees, or taxes unless customers will pay those amounts through their electricity purchases. </w:t>
            </w:r>
          </w:p>
          <w:p w14:paraId="30847469" w14:textId="4A4F11E3" w:rsidR="00B139DE" w:rsidRPr="00DF3C8C" w:rsidRDefault="00B139DE" w:rsidP="00E45931">
            <w:pPr>
              <w:numPr>
                <w:ilvl w:val="0"/>
                <w:numId w:val="19"/>
              </w:numPr>
              <w:ind w:left="360" w:right="72" w:hanging="360"/>
              <w:textAlignment w:val="baseline"/>
              <w:rPr>
                <w:rFonts w:ascii="Calibri" w:eastAsia="Calibri" w:hAnsi="Calibri"/>
                <w:color w:val="000000"/>
              </w:rPr>
            </w:pPr>
          </w:p>
        </w:tc>
      </w:tr>
      <w:tr w:rsidR="00B139DE" w14:paraId="086833EA" w14:textId="77777777" w:rsidTr="007248F0">
        <w:tc>
          <w:tcPr>
            <w:tcW w:w="9715" w:type="dxa"/>
            <w:shd w:val="clear" w:color="auto" w:fill="auto"/>
          </w:tcPr>
          <w:p w14:paraId="2C702DB8" w14:textId="77777777" w:rsidR="00B139DE" w:rsidRDefault="00B139DE" w:rsidP="00F70BFF">
            <w:pPr>
              <w:spacing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 xml:space="preserve">194-40-300 – Documentation concerning coal-fired resources </w:t>
            </w:r>
            <w:r>
              <w:rPr>
                <w:rFonts w:ascii="Calibri" w:eastAsia="Calibri" w:hAnsi="Calibri"/>
                <w:color w:val="000000"/>
                <w:spacing w:val="-4"/>
                <w:sz w:val="23"/>
              </w:rPr>
              <w:t>[19.405.030(1)]</w:t>
            </w:r>
          </w:p>
          <w:p w14:paraId="6696C348" w14:textId="35467148" w:rsidR="00B139DE" w:rsidRDefault="00B139DE" w:rsidP="00F70BFF">
            <w:pPr>
              <w:numPr>
                <w:ilvl w:val="0"/>
                <w:numId w:val="20"/>
              </w:numPr>
              <w:tabs>
                <w:tab w:val="clear" w:pos="360"/>
                <w:tab w:val="left" w:pos="720"/>
              </w:tabs>
              <w:spacing w:before="198"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Each utility must publish by June 1, 2027, and each year thereafter, an attestation by a properly authorized representative of the utility certifying that the utility’s allocation of electricity for Washington retail electric load in the prior calendar year did not include any electricity generated at a coal-fired resource.</w:t>
            </w:r>
          </w:p>
          <w:p w14:paraId="40CEA062" w14:textId="77777777" w:rsidR="00B139DE" w:rsidRDefault="00B139DE" w:rsidP="00F70BFF">
            <w:pPr>
              <w:numPr>
                <w:ilvl w:val="0"/>
                <w:numId w:val="20"/>
              </w:numPr>
              <w:tabs>
                <w:tab w:val="clear" w:pos="360"/>
                <w:tab w:val="left" w:pos="720"/>
              </w:tabs>
              <w:spacing w:before="1" w:line="309" w:lineRule="exact"/>
              <w:ind w:left="720" w:hanging="360"/>
              <w:textAlignment w:val="baseline"/>
              <w:rPr>
                <w:rFonts w:ascii="Calibri" w:eastAsia="Calibri" w:hAnsi="Calibri"/>
                <w:color w:val="000000"/>
                <w:sz w:val="23"/>
              </w:rPr>
            </w:pPr>
            <w:r>
              <w:rPr>
                <w:rFonts w:ascii="Calibri" w:eastAsia="Calibri" w:hAnsi="Calibri"/>
                <w:color w:val="000000"/>
                <w:sz w:val="23"/>
              </w:rPr>
              <w:t>The purchase of electricity, where the source is unknown at the time of purchase, for a term not to exceed one month, is not a coal-fired resource and does not preclude a utility from making the attestation required by subsection (1).</w:t>
            </w:r>
          </w:p>
          <w:p w14:paraId="51EBB9C6" w14:textId="1AF609F5" w:rsidR="00B139DE" w:rsidRDefault="00B139DE" w:rsidP="00F70BFF">
            <w:pPr>
              <w:numPr>
                <w:ilvl w:val="0"/>
                <w:numId w:val="20"/>
              </w:numPr>
              <w:tabs>
                <w:tab w:val="clear" w:pos="360"/>
                <w:tab w:val="left" w:pos="720"/>
              </w:tabs>
              <w:spacing w:line="308" w:lineRule="exact"/>
              <w:ind w:left="720" w:right="72" w:hanging="360"/>
              <w:textAlignment w:val="baseline"/>
              <w:rPr>
                <w:rFonts w:ascii="Calibri" w:eastAsia="Calibri" w:hAnsi="Calibri"/>
                <w:color w:val="000000"/>
                <w:sz w:val="23"/>
              </w:rPr>
            </w:pPr>
            <w:r>
              <w:rPr>
                <w:rFonts w:ascii="Calibri" w:eastAsia="Calibri" w:hAnsi="Calibri"/>
                <w:color w:val="000000"/>
                <w:sz w:val="23"/>
              </w:rPr>
              <w:t>If the utility purchased or otherwise acquired electricity for Washington retail electric load for a term greater than one month and the source of that electricity is unknown at the time of purchase, the utility may rely on operational data to demonstrate that the electricity was not generated using coal as a fuel source.</w:t>
            </w:r>
          </w:p>
          <w:p w14:paraId="6186C3C2" w14:textId="0399E432" w:rsidR="00EB41BE" w:rsidRDefault="00EB41BE" w:rsidP="00F70BFF">
            <w:pPr>
              <w:numPr>
                <w:ilvl w:val="0"/>
                <w:numId w:val="20"/>
              </w:numPr>
              <w:tabs>
                <w:tab w:val="clear" w:pos="360"/>
                <w:tab w:val="left" w:pos="720"/>
              </w:tabs>
              <w:spacing w:line="308" w:lineRule="exact"/>
              <w:ind w:left="720" w:right="72" w:hanging="360"/>
              <w:textAlignment w:val="baseline"/>
              <w:rPr>
                <w:rFonts w:ascii="Calibri" w:eastAsia="Calibri" w:hAnsi="Calibri"/>
                <w:color w:val="000000"/>
                <w:sz w:val="23"/>
              </w:rPr>
            </w:pPr>
            <w:r>
              <w:rPr>
                <w:rFonts w:ascii="Calibri" w:eastAsia="Calibri" w:hAnsi="Calibri"/>
                <w:color w:val="000000"/>
                <w:sz w:val="23"/>
              </w:rPr>
              <w:t>If a utility enters into a combination of transactions</w:t>
            </w:r>
            <w:r w:rsidR="004939BA">
              <w:rPr>
                <w:rFonts w:ascii="Calibri" w:eastAsia="Calibri" w:hAnsi="Calibri"/>
                <w:color w:val="000000"/>
                <w:sz w:val="23"/>
              </w:rPr>
              <w:t xml:space="preserve"> for unspecified electricity</w:t>
            </w:r>
            <w:r>
              <w:rPr>
                <w:rFonts w:ascii="Calibri" w:eastAsia="Calibri" w:hAnsi="Calibri"/>
                <w:color w:val="000000"/>
                <w:sz w:val="23"/>
              </w:rPr>
              <w:t xml:space="preserve"> that might reasonably appear to </w:t>
            </w:r>
            <w:r w:rsidR="0097501B">
              <w:rPr>
                <w:rFonts w:ascii="Calibri" w:eastAsia="Calibri" w:hAnsi="Calibri"/>
                <w:color w:val="000000"/>
                <w:sz w:val="23"/>
              </w:rPr>
              <w:t>be a substitute for</w:t>
            </w:r>
            <w:r>
              <w:rPr>
                <w:rFonts w:ascii="Calibri" w:eastAsia="Calibri" w:hAnsi="Calibri"/>
                <w:color w:val="000000"/>
                <w:sz w:val="23"/>
              </w:rPr>
              <w:t xml:space="preserve"> a single purchase or acquisition for a term of more than one month, the utility must </w:t>
            </w:r>
            <w:r w:rsidR="0053092D">
              <w:rPr>
                <w:rFonts w:ascii="Calibri" w:eastAsia="Calibri" w:hAnsi="Calibri"/>
                <w:color w:val="000000"/>
                <w:sz w:val="23"/>
              </w:rPr>
              <w:t xml:space="preserve">document </w:t>
            </w:r>
            <w:r w:rsidR="004939BA">
              <w:rPr>
                <w:rFonts w:ascii="Calibri" w:eastAsia="Calibri" w:hAnsi="Calibri"/>
                <w:color w:val="000000"/>
                <w:sz w:val="23"/>
              </w:rPr>
              <w:t>the transactions</w:t>
            </w:r>
            <w:r w:rsidR="0053092D">
              <w:rPr>
                <w:rFonts w:ascii="Calibri" w:eastAsia="Calibri" w:hAnsi="Calibri"/>
                <w:color w:val="000000"/>
                <w:sz w:val="23"/>
              </w:rPr>
              <w:t xml:space="preserve"> in sufficient detail </w:t>
            </w:r>
            <w:r w:rsidR="004939BA">
              <w:rPr>
                <w:rFonts w:ascii="Calibri" w:eastAsia="Calibri" w:hAnsi="Calibri"/>
                <w:color w:val="000000"/>
                <w:sz w:val="23"/>
              </w:rPr>
              <w:t xml:space="preserve">to demonstrate that the electricity </w:t>
            </w:r>
            <w:r w:rsidR="0053092D">
              <w:rPr>
                <w:rFonts w:ascii="Calibri" w:eastAsia="Calibri" w:hAnsi="Calibri"/>
                <w:color w:val="000000"/>
                <w:sz w:val="23"/>
              </w:rPr>
              <w:t xml:space="preserve">from the transactions </w:t>
            </w:r>
            <w:r w:rsidR="004939BA">
              <w:rPr>
                <w:rFonts w:ascii="Calibri" w:eastAsia="Calibri" w:hAnsi="Calibri"/>
                <w:color w:val="000000"/>
                <w:sz w:val="23"/>
              </w:rPr>
              <w:t>is not a coal-fired resource.</w:t>
            </w:r>
          </w:p>
          <w:p w14:paraId="5B42C987" w14:textId="77777777" w:rsidR="00B139DE" w:rsidRDefault="00B139DE" w:rsidP="00D158E6">
            <w:pPr>
              <w:spacing w:line="238" w:lineRule="exact"/>
              <w:textAlignment w:val="baseline"/>
              <w:rPr>
                <w:rFonts w:ascii="Calibri" w:eastAsia="Calibri" w:hAnsi="Calibri"/>
                <w:b/>
                <w:color w:val="000000"/>
                <w:spacing w:val="-2"/>
                <w:sz w:val="23"/>
              </w:rPr>
            </w:pPr>
          </w:p>
        </w:tc>
      </w:tr>
      <w:tr w:rsidR="00B139DE" w14:paraId="0BFC03EC" w14:textId="77777777" w:rsidTr="007248F0">
        <w:tc>
          <w:tcPr>
            <w:tcW w:w="9715" w:type="dxa"/>
            <w:shd w:val="clear" w:color="auto" w:fill="auto"/>
          </w:tcPr>
          <w:p w14:paraId="209C5C6B" w14:textId="77777777" w:rsidR="00B139DE" w:rsidRDefault="00B139DE" w:rsidP="003B59C5">
            <w:pPr>
              <w:spacing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194-40-310 – Documentation of </w:t>
            </w:r>
            <w:proofErr w:type="spellStart"/>
            <w:r>
              <w:rPr>
                <w:rFonts w:ascii="Calibri" w:eastAsia="Calibri" w:hAnsi="Calibri"/>
                <w:b/>
                <w:color w:val="000000"/>
                <w:spacing w:val="-4"/>
                <w:sz w:val="23"/>
              </w:rPr>
              <w:t>nonemitting</w:t>
            </w:r>
            <w:proofErr w:type="spellEnd"/>
            <w:r>
              <w:rPr>
                <w:rFonts w:ascii="Calibri" w:eastAsia="Calibri" w:hAnsi="Calibri"/>
                <w:b/>
                <w:color w:val="000000"/>
                <w:spacing w:val="-4"/>
                <w:sz w:val="23"/>
              </w:rPr>
              <w:t xml:space="preserve"> electric generation </w:t>
            </w:r>
            <w:r>
              <w:rPr>
                <w:rFonts w:ascii="Calibri" w:eastAsia="Calibri" w:hAnsi="Calibri"/>
                <w:color w:val="000000"/>
                <w:spacing w:val="-4"/>
                <w:sz w:val="23"/>
              </w:rPr>
              <w:t>[19.405.040(1)]</w:t>
            </w:r>
          </w:p>
          <w:p w14:paraId="2992487E" w14:textId="77777777" w:rsidR="00B139DE" w:rsidRDefault="00B139DE" w:rsidP="003B59C5">
            <w:pPr>
              <w:numPr>
                <w:ilvl w:val="0"/>
                <w:numId w:val="21"/>
              </w:numPr>
              <w:tabs>
                <w:tab w:val="clear" w:pos="360"/>
                <w:tab w:val="left" w:pos="720"/>
              </w:tabs>
              <w:spacing w:line="309" w:lineRule="exact"/>
              <w:ind w:left="720" w:right="72" w:hanging="360"/>
              <w:textAlignment w:val="baseline"/>
              <w:rPr>
                <w:rFonts w:ascii="Calibri" w:eastAsia="Calibri" w:hAnsi="Calibri"/>
                <w:color w:val="000000"/>
                <w:sz w:val="23"/>
              </w:rPr>
            </w:pPr>
            <w:r>
              <w:rPr>
                <w:rFonts w:ascii="Calibri" w:eastAsia="Calibri" w:hAnsi="Calibri"/>
                <w:color w:val="000000"/>
                <w:sz w:val="23"/>
              </w:rPr>
              <w:t xml:space="preserve">Any utility using </w:t>
            </w:r>
            <w:proofErr w:type="spellStart"/>
            <w:r>
              <w:rPr>
                <w:rFonts w:ascii="Calibri" w:eastAsia="Calibri" w:hAnsi="Calibri"/>
                <w:color w:val="000000"/>
                <w:sz w:val="23"/>
              </w:rPr>
              <w:t>nonemitting</w:t>
            </w:r>
            <w:proofErr w:type="spellEnd"/>
            <w:r>
              <w:rPr>
                <w:rFonts w:ascii="Calibri" w:eastAsia="Calibri" w:hAnsi="Calibri"/>
                <w:color w:val="000000"/>
                <w:sz w:val="23"/>
              </w:rPr>
              <w:t xml:space="preserve"> electric generation to comply with a requirement under RCW 19.405.040 or RCW 19.405.050 must demonstrate that it owns the </w:t>
            </w:r>
            <w:proofErr w:type="spellStart"/>
            <w:r>
              <w:rPr>
                <w:rFonts w:ascii="Calibri" w:eastAsia="Calibri" w:hAnsi="Calibri"/>
                <w:color w:val="000000"/>
                <w:sz w:val="23"/>
              </w:rPr>
              <w:t>nonpower</w:t>
            </w:r>
            <w:proofErr w:type="spellEnd"/>
            <w:r>
              <w:rPr>
                <w:rFonts w:ascii="Calibri" w:eastAsia="Calibri" w:hAnsi="Calibri"/>
                <w:color w:val="000000"/>
                <w:sz w:val="23"/>
              </w:rPr>
              <w:t xml:space="preserve"> attributes of that electricity and that it has committed to use the </w:t>
            </w:r>
            <w:proofErr w:type="spellStart"/>
            <w:r>
              <w:rPr>
                <w:rFonts w:ascii="Calibri" w:eastAsia="Calibri" w:hAnsi="Calibri"/>
                <w:color w:val="000000"/>
                <w:sz w:val="23"/>
              </w:rPr>
              <w:t>nonpower</w:t>
            </w:r>
            <w:proofErr w:type="spellEnd"/>
            <w:r>
              <w:rPr>
                <w:rFonts w:ascii="Calibri" w:eastAsia="Calibri" w:hAnsi="Calibri"/>
                <w:color w:val="000000"/>
                <w:sz w:val="23"/>
              </w:rPr>
              <w:t xml:space="preserve"> attributes exclusively for the stated compliance purpose.</w:t>
            </w:r>
          </w:p>
          <w:p w14:paraId="6BF3D885" w14:textId="6BE8B1F3" w:rsidR="00B139DE" w:rsidRDefault="00B139DE" w:rsidP="003B59C5">
            <w:pPr>
              <w:numPr>
                <w:ilvl w:val="0"/>
                <w:numId w:val="21"/>
              </w:numPr>
              <w:tabs>
                <w:tab w:val="clear" w:pos="360"/>
                <w:tab w:val="left" w:pos="720"/>
              </w:tabs>
              <w:spacing w:line="309" w:lineRule="exact"/>
              <w:ind w:left="720" w:right="216" w:hanging="360"/>
              <w:textAlignment w:val="baseline"/>
              <w:rPr>
                <w:rFonts w:ascii="Calibri" w:eastAsia="Calibri" w:hAnsi="Calibri"/>
                <w:color w:val="000000"/>
                <w:spacing w:val="-5"/>
                <w:sz w:val="23"/>
              </w:rPr>
            </w:pPr>
            <w:r>
              <w:rPr>
                <w:rFonts w:ascii="Calibri" w:eastAsia="Calibri" w:hAnsi="Calibri"/>
                <w:color w:val="000000"/>
                <w:spacing w:val="-5"/>
                <w:sz w:val="23"/>
              </w:rPr>
              <w:t xml:space="preserve">A utility may demonstrate ownership of </w:t>
            </w:r>
            <w:proofErr w:type="spellStart"/>
            <w:r>
              <w:rPr>
                <w:rFonts w:ascii="Calibri" w:eastAsia="Calibri" w:hAnsi="Calibri"/>
                <w:color w:val="000000"/>
                <w:spacing w:val="-5"/>
                <w:sz w:val="23"/>
              </w:rPr>
              <w:t>nonpower</w:t>
            </w:r>
            <w:proofErr w:type="spellEnd"/>
            <w:r>
              <w:rPr>
                <w:rFonts w:ascii="Calibri" w:eastAsia="Calibri" w:hAnsi="Calibri"/>
                <w:color w:val="000000"/>
                <w:spacing w:val="-5"/>
                <w:sz w:val="23"/>
              </w:rPr>
              <w:t xml:space="preserve"> attributes using attestations of ownership and transfer by properly authorized representatives of the generating facility, all intermediate owners of the </w:t>
            </w:r>
            <w:proofErr w:type="spellStart"/>
            <w:r>
              <w:rPr>
                <w:rFonts w:ascii="Calibri" w:eastAsia="Calibri" w:hAnsi="Calibri"/>
                <w:color w:val="000000"/>
                <w:spacing w:val="-5"/>
                <w:sz w:val="23"/>
              </w:rPr>
              <w:t>nonemitting</w:t>
            </w:r>
            <w:proofErr w:type="spellEnd"/>
            <w:r>
              <w:rPr>
                <w:rFonts w:ascii="Calibri" w:eastAsia="Calibri" w:hAnsi="Calibri"/>
                <w:color w:val="000000"/>
                <w:spacing w:val="-5"/>
                <w:sz w:val="23"/>
              </w:rPr>
              <w:t xml:space="preserve"> electric generation, and a properly authorized representative of the utility.</w:t>
            </w:r>
          </w:p>
          <w:p w14:paraId="04C662DA" w14:textId="77777777" w:rsidR="00B139DE" w:rsidRDefault="00B139DE" w:rsidP="003B59C5">
            <w:pPr>
              <w:numPr>
                <w:ilvl w:val="0"/>
                <w:numId w:val="21"/>
              </w:numPr>
              <w:tabs>
                <w:tab w:val="clear" w:pos="360"/>
                <w:tab w:val="left" w:pos="720"/>
              </w:tabs>
              <w:spacing w:line="308" w:lineRule="exact"/>
              <w:ind w:left="720"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A utility may demonstrate ownership of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the nuclear portion of BPA’s standard electricity product by relying on a representation of a properly authorized </w:t>
            </w:r>
            <w:r>
              <w:rPr>
                <w:rFonts w:ascii="Calibri" w:eastAsia="Calibri" w:hAnsi="Calibri"/>
                <w:color w:val="000000"/>
                <w:spacing w:val="-4"/>
                <w:sz w:val="23"/>
              </w:rPr>
              <w:lastRenderedPageBreak/>
              <w:t xml:space="preserve">representative of BPA stating the </w:t>
            </w:r>
            <w:proofErr w:type="spellStart"/>
            <w:r>
              <w:rPr>
                <w:rFonts w:ascii="Calibri" w:eastAsia="Calibri" w:hAnsi="Calibri"/>
                <w:color w:val="000000"/>
                <w:spacing w:val="-4"/>
                <w:sz w:val="23"/>
              </w:rPr>
              <w:t>nonemitting</w:t>
            </w:r>
            <w:proofErr w:type="spellEnd"/>
            <w:r>
              <w:rPr>
                <w:rFonts w:ascii="Calibri" w:eastAsia="Calibri" w:hAnsi="Calibri"/>
                <w:color w:val="000000"/>
                <w:spacing w:val="-4"/>
                <w:sz w:val="23"/>
              </w:rPr>
              <w:t xml:space="preserve"> percentage of its electricity product and verifying that BPA did not separate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associated with the nuclear generation.</w:t>
            </w:r>
          </w:p>
          <w:p w14:paraId="49CAF47A" w14:textId="77777777" w:rsidR="00B139DE" w:rsidRDefault="00B139DE" w:rsidP="00D158E6">
            <w:pPr>
              <w:spacing w:line="238" w:lineRule="exact"/>
              <w:textAlignment w:val="baseline"/>
              <w:rPr>
                <w:rFonts w:ascii="Calibri" w:eastAsia="Calibri" w:hAnsi="Calibri"/>
                <w:b/>
                <w:color w:val="000000"/>
                <w:spacing w:val="-2"/>
                <w:sz w:val="23"/>
              </w:rPr>
            </w:pPr>
          </w:p>
        </w:tc>
      </w:tr>
      <w:tr w:rsidR="00B139DE" w14:paraId="126E2C6D" w14:textId="77777777" w:rsidTr="007248F0">
        <w:tc>
          <w:tcPr>
            <w:tcW w:w="9715" w:type="dxa"/>
            <w:shd w:val="clear" w:color="auto" w:fill="auto"/>
          </w:tcPr>
          <w:p w14:paraId="5E2F2609" w14:textId="77777777" w:rsidR="00B139DE" w:rsidRDefault="00B139DE" w:rsidP="003B59C5">
            <w:pPr>
              <w:spacing w:line="309" w:lineRule="exact"/>
              <w:ind w:right="792"/>
              <w:textAlignment w:val="baseline"/>
              <w:rPr>
                <w:rFonts w:ascii="Calibri" w:eastAsia="Calibri" w:hAnsi="Calibri"/>
                <w:b/>
                <w:color w:val="000000"/>
                <w:sz w:val="23"/>
              </w:rPr>
            </w:pPr>
            <w:r>
              <w:rPr>
                <w:rFonts w:ascii="Calibri" w:eastAsia="Calibri" w:hAnsi="Calibri"/>
                <w:b/>
                <w:color w:val="000000"/>
                <w:sz w:val="23"/>
              </w:rPr>
              <w:lastRenderedPageBreak/>
              <w:t xml:space="preserve">194-40-320 – Use of electricity from renewable resources and </w:t>
            </w:r>
            <w:proofErr w:type="spellStart"/>
            <w:r>
              <w:rPr>
                <w:rFonts w:ascii="Calibri" w:eastAsia="Calibri" w:hAnsi="Calibri"/>
                <w:b/>
                <w:color w:val="000000"/>
                <w:sz w:val="23"/>
              </w:rPr>
              <w:t>nonemitting</w:t>
            </w:r>
            <w:proofErr w:type="spellEnd"/>
            <w:r>
              <w:rPr>
                <w:rFonts w:ascii="Calibri" w:eastAsia="Calibri" w:hAnsi="Calibri"/>
                <w:b/>
                <w:color w:val="000000"/>
                <w:sz w:val="23"/>
              </w:rPr>
              <w:t xml:space="preserve"> electric generation </w:t>
            </w:r>
            <w:r>
              <w:rPr>
                <w:rFonts w:ascii="Calibri" w:eastAsia="Calibri" w:hAnsi="Calibri"/>
                <w:color w:val="000000"/>
                <w:sz w:val="23"/>
              </w:rPr>
              <w:t>[19.405.040(1)]</w:t>
            </w:r>
          </w:p>
          <w:p w14:paraId="51D3208A" w14:textId="77777777" w:rsidR="00B139DE" w:rsidRDefault="00B139DE" w:rsidP="003B59C5">
            <w:pPr>
              <w:spacing w:before="203"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(1) For the purposes of RCW 19.405.040(1)(a)(ii), a utility uses electricity if it generated the electricity using its own generating facility or if it acquired, in a single transaction, ownership of the electricity and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that electricity. If the source of the electricity is outside the Western Interconnection, the utility must have had the capability to provide for delivery of that electricity to the utility’s distribution system.</w:t>
            </w:r>
          </w:p>
          <w:p w14:paraId="2B943AA1" w14:textId="77777777" w:rsidR="00B139DE" w:rsidRDefault="00B139DE" w:rsidP="003B59C5">
            <w:pPr>
              <w:spacing w:before="8" w:line="308" w:lineRule="exact"/>
              <w:ind w:left="720" w:hanging="360"/>
              <w:textAlignment w:val="baseline"/>
              <w:rPr>
                <w:rFonts w:ascii="Calibri" w:eastAsia="Calibri" w:hAnsi="Calibri"/>
                <w:color w:val="000000"/>
                <w:spacing w:val="-4"/>
                <w:sz w:val="23"/>
              </w:rPr>
            </w:pPr>
            <w:proofErr w:type="gramStart"/>
            <w:r>
              <w:rPr>
                <w:rFonts w:ascii="Calibri" w:eastAsia="Calibri" w:hAnsi="Calibri"/>
                <w:color w:val="000000"/>
                <w:spacing w:val="-4"/>
                <w:sz w:val="23"/>
              </w:rPr>
              <w:t xml:space="preserve">(2) If a utility using electricity as provided in subsection (1) sells or transfers ownership of the electricity to any entity that is not its Washington retail customer, it may not use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that electricity for compliance with the GHG Neutral Standard unless the electricity transaction identified the electricity as unspecified electricity and the utility retained ownership of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w:t>
            </w:r>
            <w:proofErr w:type="gramEnd"/>
          </w:p>
          <w:p w14:paraId="709A0CED" w14:textId="77777777" w:rsidR="00B139DE" w:rsidRDefault="00B139DE" w:rsidP="00D158E6">
            <w:pPr>
              <w:spacing w:line="238" w:lineRule="exact"/>
              <w:textAlignment w:val="baseline"/>
              <w:rPr>
                <w:rFonts w:ascii="Calibri" w:eastAsia="Calibri" w:hAnsi="Calibri"/>
                <w:b/>
                <w:color w:val="000000"/>
                <w:spacing w:val="-2"/>
                <w:sz w:val="23"/>
              </w:rPr>
            </w:pPr>
          </w:p>
        </w:tc>
      </w:tr>
      <w:tr w:rsidR="00B139DE" w14:paraId="75548275" w14:textId="77777777" w:rsidTr="007248F0">
        <w:tc>
          <w:tcPr>
            <w:tcW w:w="9715" w:type="dxa"/>
            <w:shd w:val="clear" w:color="auto" w:fill="auto"/>
          </w:tcPr>
          <w:p w14:paraId="27AB097F" w14:textId="77777777" w:rsidR="00B139DE" w:rsidRPr="00955BC6" w:rsidRDefault="00B139DE" w:rsidP="00955BC6">
            <w:pPr>
              <w:textAlignment w:val="baseline"/>
              <w:rPr>
                <w:rFonts w:ascii="Calibri" w:eastAsia="Calibri" w:hAnsi="Calibri"/>
                <w:b/>
                <w:color w:val="000000"/>
                <w:spacing w:val="-4"/>
              </w:rPr>
            </w:pPr>
            <w:r w:rsidRPr="00955BC6">
              <w:rPr>
                <w:rFonts w:ascii="Calibri" w:eastAsia="Calibri" w:hAnsi="Calibri"/>
                <w:b/>
                <w:color w:val="000000"/>
                <w:spacing w:val="-4"/>
              </w:rPr>
              <w:t xml:space="preserve">194-40-330 – Methodologies for energy efficiency and demand response resources </w:t>
            </w:r>
            <w:r w:rsidRPr="00955BC6">
              <w:rPr>
                <w:rFonts w:ascii="Calibri" w:eastAsia="Calibri" w:hAnsi="Calibri"/>
                <w:color w:val="000000"/>
                <w:spacing w:val="-4"/>
              </w:rPr>
              <w:t>[19.405.040(6)]</w:t>
            </w:r>
          </w:p>
          <w:p w14:paraId="679813F1" w14:textId="77777777" w:rsidR="00B139DE" w:rsidRPr="00955BC6" w:rsidRDefault="00B139DE" w:rsidP="00955BC6">
            <w:pPr>
              <w:spacing w:before="279"/>
              <w:ind w:left="360"/>
              <w:textAlignment w:val="baseline"/>
              <w:rPr>
                <w:rFonts w:ascii="Calibri" w:eastAsia="Calibri" w:hAnsi="Calibri"/>
                <w:color w:val="000000"/>
                <w:spacing w:val="-1"/>
              </w:rPr>
            </w:pPr>
            <w:r w:rsidRPr="00955BC6">
              <w:rPr>
                <w:rFonts w:ascii="Calibri" w:eastAsia="Calibri" w:hAnsi="Calibri"/>
                <w:color w:val="000000"/>
                <w:spacing w:val="-1"/>
              </w:rPr>
              <w:t xml:space="preserve">(1) </w:t>
            </w:r>
            <w:r w:rsidRPr="00955BC6">
              <w:rPr>
                <w:rFonts w:ascii="Calibri" w:eastAsia="Calibri" w:hAnsi="Calibri"/>
                <w:b/>
                <w:color w:val="000000"/>
                <w:spacing w:val="-1"/>
              </w:rPr>
              <w:t>Energy efficiency resources</w:t>
            </w:r>
          </w:p>
          <w:p w14:paraId="5041F757" w14:textId="618AF18B" w:rsidR="00B139DE" w:rsidRPr="00955BC6" w:rsidRDefault="00B139DE" w:rsidP="00955BC6">
            <w:pPr>
              <w:spacing w:before="78"/>
              <w:ind w:left="1080"/>
              <w:textAlignment w:val="baseline"/>
              <w:rPr>
                <w:rFonts w:ascii="Calibri" w:eastAsia="Calibri" w:hAnsi="Calibri"/>
                <w:color w:val="000000"/>
                <w:spacing w:val="1"/>
              </w:rPr>
            </w:pPr>
            <w:r w:rsidRPr="00955BC6">
              <w:rPr>
                <w:rFonts w:ascii="Calibri" w:eastAsia="Calibri" w:hAnsi="Calibri"/>
                <w:color w:val="000000"/>
                <w:spacing w:val="1"/>
              </w:rPr>
              <w:t xml:space="preserve">(a) </w:t>
            </w:r>
            <w:r w:rsidRPr="00955BC6">
              <w:rPr>
                <w:rFonts w:ascii="Calibri" w:eastAsia="Calibri" w:hAnsi="Calibri"/>
                <w:b/>
                <w:color w:val="000000"/>
                <w:spacing w:val="1"/>
              </w:rPr>
              <w:t>Assessment of potential</w:t>
            </w:r>
          </w:p>
          <w:p w14:paraId="0DBAA8F0" w14:textId="560827DB" w:rsidR="00B139DE" w:rsidRPr="00955BC6" w:rsidRDefault="00B139DE" w:rsidP="00955BC6">
            <w:pPr>
              <w:tabs>
                <w:tab w:val="left" w:pos="288"/>
                <w:tab w:val="left" w:pos="2160"/>
              </w:tabs>
              <w:spacing w:before="6"/>
              <w:ind w:left="1440" w:right="72"/>
              <w:textAlignment w:val="baseline"/>
              <w:rPr>
                <w:rFonts w:ascii="Calibri" w:eastAsia="Calibri" w:hAnsi="Calibri"/>
                <w:color w:val="000000"/>
              </w:rPr>
            </w:pPr>
            <w:r w:rsidRPr="00955BC6">
              <w:rPr>
                <w:rFonts w:ascii="Calibri" w:eastAsia="Calibri" w:hAnsi="Calibri"/>
                <w:color w:val="000000"/>
              </w:rPr>
              <w:t>(</w:t>
            </w:r>
            <w:proofErr w:type="spellStart"/>
            <w:r w:rsidRPr="00955BC6">
              <w:rPr>
                <w:rFonts w:ascii="Calibri" w:eastAsia="Calibri" w:hAnsi="Calibri"/>
                <w:color w:val="000000"/>
              </w:rPr>
              <w:t>i</w:t>
            </w:r>
            <w:proofErr w:type="spellEnd"/>
            <w:r w:rsidRPr="00955BC6">
              <w:rPr>
                <w:rFonts w:ascii="Calibri" w:eastAsia="Calibri" w:hAnsi="Calibri"/>
                <w:color w:val="000000"/>
              </w:rPr>
              <w:t>) Any utility that is a qualifying utility under Chapter 19.285 RCW must assess the amount of energy efficiency and conservation that is available using the conservation methodology established in RCW 19.285.040(1) and the rules implementing that subsection.</w:t>
            </w:r>
          </w:p>
          <w:p w14:paraId="4CEFBAFB" w14:textId="1EB9E911" w:rsidR="00B139DE" w:rsidRPr="00955BC6" w:rsidRDefault="00B139DE" w:rsidP="00955BC6">
            <w:pPr>
              <w:tabs>
                <w:tab w:val="left" w:pos="288"/>
                <w:tab w:val="left" w:pos="2160"/>
              </w:tabs>
              <w:spacing w:before="2"/>
              <w:ind w:left="1440" w:right="432"/>
              <w:textAlignment w:val="baseline"/>
              <w:rPr>
                <w:rFonts w:ascii="Calibri" w:eastAsia="Calibri" w:hAnsi="Calibri"/>
                <w:color w:val="000000"/>
              </w:rPr>
            </w:pPr>
            <w:r w:rsidRPr="00955BC6">
              <w:rPr>
                <w:rFonts w:ascii="Calibri" w:eastAsia="Calibri" w:hAnsi="Calibri"/>
                <w:color w:val="000000"/>
              </w:rPr>
              <w:t>(ii) Any utility that is not a qualifying utility under Chapter 19.285 RCW must establish the amount of energy efficiency and conservation that is available using either of the following methods:</w:t>
            </w:r>
          </w:p>
          <w:p w14:paraId="23E50714" w14:textId="09839119" w:rsidR="00B139DE" w:rsidRPr="00955BC6" w:rsidRDefault="00B139DE" w:rsidP="00955BC6">
            <w:pPr>
              <w:tabs>
                <w:tab w:val="left" w:pos="360"/>
                <w:tab w:val="left" w:pos="2880"/>
              </w:tabs>
              <w:spacing w:before="4"/>
              <w:ind w:left="2160" w:right="288"/>
              <w:textAlignment w:val="baseline"/>
              <w:rPr>
                <w:rFonts w:ascii="Calibri" w:eastAsia="Calibri" w:hAnsi="Calibri"/>
                <w:color w:val="000000"/>
                <w:spacing w:val="-4"/>
              </w:rPr>
            </w:pPr>
            <w:r w:rsidRPr="00955BC6">
              <w:rPr>
                <w:rFonts w:ascii="Calibri" w:eastAsia="Calibri" w:hAnsi="Calibri"/>
                <w:color w:val="000000"/>
                <w:spacing w:val="-4"/>
              </w:rPr>
              <w:t>(1) Use the conservation methodology established in RCW 19.285.040(1) and the rules implementing that subsection, or</w:t>
            </w:r>
          </w:p>
          <w:p w14:paraId="244D4037" w14:textId="775B3EDD" w:rsidR="00B139DE" w:rsidRPr="00955BC6" w:rsidRDefault="00B139DE" w:rsidP="00955BC6">
            <w:pPr>
              <w:tabs>
                <w:tab w:val="left" w:pos="360"/>
                <w:tab w:val="left" w:pos="2880"/>
              </w:tabs>
              <w:ind w:left="2160" w:right="72"/>
              <w:textAlignment w:val="baseline"/>
              <w:rPr>
                <w:rFonts w:ascii="Calibri" w:eastAsia="Calibri" w:hAnsi="Calibri"/>
                <w:color w:val="000000"/>
              </w:rPr>
            </w:pPr>
            <w:r w:rsidRPr="00955BC6">
              <w:rPr>
                <w:rFonts w:ascii="Calibri" w:eastAsia="Calibri" w:hAnsi="Calibri"/>
                <w:color w:val="000000"/>
              </w:rPr>
              <w:t>(2) Establish the reasonable utility-level proportion of a conservation potential assessment prepared at a regional or multi-utility level using a methodology that evaluates resource alternatives on a total resource cost basis and incudes the social cost of greenhouse gas emissions as specified in WAC 194-40-110.</w:t>
            </w:r>
          </w:p>
          <w:p w14:paraId="42A54F6D" w14:textId="71210E0C" w:rsidR="00B139DE" w:rsidRPr="00955BC6" w:rsidRDefault="00B139DE" w:rsidP="00955BC6">
            <w:pPr>
              <w:tabs>
                <w:tab w:val="left" w:pos="1440"/>
              </w:tabs>
              <w:spacing w:before="2"/>
              <w:ind w:left="1440" w:hanging="360"/>
              <w:textAlignment w:val="baseline"/>
              <w:rPr>
                <w:rFonts w:ascii="Calibri" w:eastAsia="Calibri" w:hAnsi="Calibri"/>
                <w:color w:val="000000"/>
                <w:spacing w:val="-4"/>
              </w:rPr>
            </w:pPr>
            <w:r w:rsidRPr="00955BC6">
              <w:rPr>
                <w:rFonts w:ascii="Calibri" w:eastAsia="Calibri" w:hAnsi="Calibri"/>
                <w:color w:val="000000"/>
                <w:spacing w:val="-4"/>
              </w:rPr>
              <w:t xml:space="preserve">(b)  </w:t>
            </w:r>
            <w:r w:rsidRPr="00955BC6">
              <w:rPr>
                <w:rFonts w:ascii="Calibri" w:eastAsia="Calibri" w:hAnsi="Calibri"/>
                <w:b/>
                <w:color w:val="000000"/>
                <w:spacing w:val="-4"/>
              </w:rPr>
              <w:t xml:space="preserve">Target. </w:t>
            </w:r>
            <w:proofErr w:type="gramStart"/>
            <w:r w:rsidRPr="00955BC6">
              <w:rPr>
                <w:rFonts w:ascii="Calibri" w:eastAsia="Calibri" w:hAnsi="Calibri"/>
                <w:color w:val="000000"/>
                <w:spacing w:val="-4"/>
              </w:rPr>
              <w:t xml:space="preserve">The </w:t>
            </w:r>
            <w:r w:rsidRPr="00955BC6">
              <w:rPr>
                <w:rFonts w:ascii="Calibri" w:eastAsia="Calibri" w:hAnsi="Calibri"/>
                <w:color w:val="000000"/>
              </w:rPr>
              <w:t>energy</w:t>
            </w:r>
            <w:r w:rsidRPr="00955BC6">
              <w:rPr>
                <w:rFonts w:ascii="Calibri" w:eastAsia="Calibri" w:hAnsi="Calibri"/>
                <w:color w:val="000000"/>
                <w:spacing w:val="-4"/>
              </w:rPr>
              <w:t xml:space="preserve"> efficiency target for any </w:t>
            </w:r>
            <w:r>
              <w:rPr>
                <w:rFonts w:ascii="Calibri" w:eastAsia="Calibri" w:hAnsi="Calibri"/>
                <w:color w:val="000000"/>
                <w:spacing w:val="-4"/>
              </w:rPr>
              <w:t xml:space="preserve">interim </w:t>
            </w:r>
            <w:r w:rsidRPr="00955BC6">
              <w:rPr>
                <w:rFonts w:ascii="Calibri" w:eastAsia="Calibri" w:hAnsi="Calibri"/>
                <w:color w:val="000000"/>
                <w:spacing w:val="-4"/>
              </w:rPr>
              <w:t xml:space="preserve">performance period or </w:t>
            </w:r>
            <w:r>
              <w:rPr>
                <w:rFonts w:ascii="Calibri" w:eastAsia="Calibri" w:hAnsi="Calibri"/>
                <w:color w:val="000000"/>
                <w:spacing w:val="-4"/>
              </w:rPr>
              <w:t xml:space="preserve">GHG neutral </w:t>
            </w:r>
            <w:r w:rsidRPr="00955BC6">
              <w:rPr>
                <w:rFonts w:ascii="Calibri" w:eastAsia="Calibri" w:hAnsi="Calibri"/>
                <w:color w:val="000000"/>
                <w:spacing w:val="-4"/>
              </w:rPr>
              <w:t>compliance period must equal or exceed the target that would be calculated using the pro rata share approach specified in RCW 19.285.040(1)(b) and must be sufficient to ensure that the utility meets its obligation under RCW 19.405.040(6) to pursue all cost-effective, reliable, and feasible conservation and energy efficiency resources.</w:t>
            </w:r>
            <w:proofErr w:type="gramEnd"/>
          </w:p>
          <w:p w14:paraId="5AE4F372" w14:textId="33EED812" w:rsidR="00B139DE" w:rsidRPr="00955BC6" w:rsidRDefault="00B139DE" w:rsidP="00955BC6">
            <w:pPr>
              <w:tabs>
                <w:tab w:val="left" w:pos="1440"/>
              </w:tabs>
              <w:spacing w:before="2"/>
              <w:ind w:left="1440" w:hanging="360"/>
              <w:textAlignment w:val="baseline"/>
              <w:rPr>
                <w:rFonts w:ascii="Calibri" w:eastAsia="Calibri" w:hAnsi="Calibri"/>
                <w:color w:val="000000"/>
              </w:rPr>
            </w:pPr>
            <w:r w:rsidRPr="00955BC6">
              <w:rPr>
                <w:rFonts w:ascii="Calibri" w:eastAsia="Calibri" w:hAnsi="Calibri"/>
                <w:color w:val="000000"/>
              </w:rPr>
              <w:t xml:space="preserve">(c)  </w:t>
            </w:r>
            <w:r w:rsidRPr="00955BC6">
              <w:rPr>
                <w:rFonts w:ascii="Calibri" w:eastAsia="Calibri" w:hAnsi="Calibri"/>
                <w:b/>
                <w:color w:val="000000"/>
              </w:rPr>
              <w:t xml:space="preserve">Measurement and verification. </w:t>
            </w:r>
            <w:r w:rsidRPr="00955BC6">
              <w:rPr>
                <w:rFonts w:ascii="Calibri" w:eastAsia="Calibri" w:hAnsi="Calibri"/>
                <w:color w:val="000000"/>
              </w:rPr>
              <w:t xml:space="preserve">All energy efficiency and conservation resources used to meet an energy efficiency target </w:t>
            </w:r>
            <w:proofErr w:type="gramStart"/>
            <w:r w:rsidRPr="00955BC6">
              <w:rPr>
                <w:rFonts w:ascii="Calibri" w:eastAsia="Calibri" w:hAnsi="Calibri"/>
                <w:color w:val="000000"/>
              </w:rPr>
              <w:t>must be measured</w:t>
            </w:r>
            <w:proofErr w:type="gramEnd"/>
            <w:r w:rsidRPr="00955BC6">
              <w:rPr>
                <w:rFonts w:ascii="Calibri" w:eastAsia="Calibri" w:hAnsi="Calibri"/>
                <w:color w:val="000000"/>
              </w:rPr>
              <w:t xml:space="preserve"> and verified using the measurement and verification requirements of WAC 194-37-080(3).</w:t>
            </w:r>
          </w:p>
          <w:p w14:paraId="1C5C3701" w14:textId="77777777" w:rsidR="00B139DE" w:rsidRPr="00955BC6" w:rsidRDefault="00B139DE" w:rsidP="00955BC6">
            <w:pPr>
              <w:spacing w:before="78"/>
              <w:ind w:left="360"/>
              <w:textAlignment w:val="baseline"/>
              <w:rPr>
                <w:rFonts w:ascii="Calibri" w:eastAsia="Calibri" w:hAnsi="Calibri"/>
                <w:color w:val="000000"/>
                <w:spacing w:val="-2"/>
              </w:rPr>
            </w:pPr>
            <w:r w:rsidRPr="00955BC6">
              <w:rPr>
                <w:rFonts w:ascii="Calibri" w:eastAsia="Calibri" w:hAnsi="Calibri"/>
                <w:color w:val="000000"/>
                <w:spacing w:val="-2"/>
              </w:rPr>
              <w:t xml:space="preserve">(2) </w:t>
            </w:r>
            <w:r w:rsidRPr="00955BC6">
              <w:rPr>
                <w:rFonts w:ascii="Calibri" w:eastAsia="Calibri" w:hAnsi="Calibri"/>
                <w:b/>
                <w:color w:val="000000"/>
                <w:spacing w:val="-2"/>
              </w:rPr>
              <w:t>Demand response resources</w:t>
            </w:r>
          </w:p>
          <w:p w14:paraId="18B6EBFF" w14:textId="5CD22FB9" w:rsidR="00B139DE" w:rsidRPr="00955BC6" w:rsidRDefault="00B139DE" w:rsidP="00955BC6">
            <w:pPr>
              <w:tabs>
                <w:tab w:val="left" w:pos="1440"/>
              </w:tabs>
              <w:spacing w:before="2"/>
              <w:ind w:left="1440" w:hanging="360"/>
              <w:textAlignment w:val="baseline"/>
              <w:rPr>
                <w:rFonts w:ascii="Calibri" w:eastAsia="Calibri" w:hAnsi="Calibri"/>
                <w:b/>
                <w:color w:val="000000"/>
              </w:rPr>
            </w:pPr>
            <w:r w:rsidRPr="00955BC6">
              <w:rPr>
                <w:rFonts w:ascii="Calibri" w:eastAsia="Calibri" w:hAnsi="Calibri"/>
                <w:b/>
                <w:color w:val="000000"/>
              </w:rPr>
              <w:t xml:space="preserve">(a) Assessment of potential. </w:t>
            </w:r>
            <w:r w:rsidRPr="00955BC6">
              <w:rPr>
                <w:rFonts w:ascii="Calibri" w:eastAsia="Calibri" w:hAnsi="Calibri"/>
                <w:color w:val="000000"/>
              </w:rPr>
              <w:t>Each utility must assess the amount of demand response resource that is cost-effective, reliable, and feasible.</w:t>
            </w:r>
          </w:p>
          <w:p w14:paraId="3C8845D1" w14:textId="58FFAF16" w:rsidR="00B139DE" w:rsidRPr="00955BC6" w:rsidRDefault="00B139DE" w:rsidP="00955BC6">
            <w:pPr>
              <w:tabs>
                <w:tab w:val="left" w:pos="1440"/>
              </w:tabs>
              <w:spacing w:before="2"/>
              <w:ind w:left="1440" w:hanging="360"/>
              <w:textAlignment w:val="baseline"/>
              <w:rPr>
                <w:rFonts w:ascii="Calibri" w:eastAsia="Calibri" w:hAnsi="Calibri"/>
                <w:b/>
                <w:color w:val="000000"/>
                <w:spacing w:val="-4"/>
              </w:rPr>
            </w:pPr>
            <w:r w:rsidRPr="00955BC6">
              <w:rPr>
                <w:rFonts w:ascii="Calibri" w:eastAsia="Calibri" w:hAnsi="Calibri"/>
                <w:b/>
                <w:color w:val="000000"/>
                <w:spacing w:val="-4"/>
              </w:rPr>
              <w:lastRenderedPageBreak/>
              <w:t xml:space="preserve">(b) </w:t>
            </w:r>
            <w:r w:rsidRPr="00955BC6">
              <w:rPr>
                <w:rFonts w:ascii="Calibri" w:eastAsia="Calibri" w:hAnsi="Calibri"/>
                <w:b/>
                <w:color w:val="000000"/>
              </w:rPr>
              <w:t>Target</w:t>
            </w:r>
            <w:r w:rsidRPr="00955BC6">
              <w:rPr>
                <w:rFonts w:ascii="Calibri" w:eastAsia="Calibri" w:hAnsi="Calibri"/>
                <w:b/>
                <w:color w:val="000000"/>
                <w:spacing w:val="-4"/>
              </w:rPr>
              <w:t xml:space="preserve">. </w:t>
            </w:r>
            <w:r w:rsidRPr="00955BC6">
              <w:rPr>
                <w:rFonts w:ascii="Calibri" w:eastAsia="Calibri" w:hAnsi="Calibri"/>
                <w:color w:val="000000"/>
                <w:spacing w:val="-4"/>
              </w:rPr>
              <w:t>The demand response target for any compliance period must be sufficient to meet the utility’s obligation under RCW 19.405.040(6) and must be consistent with the utility’s integrated resource plan or resource plan and any distributed energy resource plan adopted under RCW 19.280.100.</w:t>
            </w:r>
          </w:p>
          <w:p w14:paraId="52EB34E6" w14:textId="5E8CDB4B" w:rsidR="00B139DE" w:rsidRPr="00955BC6" w:rsidRDefault="00B139DE" w:rsidP="00955BC6">
            <w:pPr>
              <w:tabs>
                <w:tab w:val="left" w:pos="1440"/>
              </w:tabs>
              <w:spacing w:before="2"/>
              <w:ind w:left="1440" w:hanging="360"/>
              <w:textAlignment w:val="baseline"/>
              <w:rPr>
                <w:rFonts w:ascii="Calibri" w:eastAsia="Calibri" w:hAnsi="Calibri"/>
                <w:b/>
                <w:color w:val="000000"/>
                <w:spacing w:val="-6"/>
              </w:rPr>
            </w:pPr>
            <w:r w:rsidRPr="00955BC6">
              <w:rPr>
                <w:rFonts w:ascii="Calibri" w:eastAsia="Calibri" w:hAnsi="Calibri"/>
                <w:b/>
                <w:color w:val="000000"/>
                <w:spacing w:val="-6"/>
              </w:rPr>
              <w:t xml:space="preserve">(c) Measurement and verification. </w:t>
            </w:r>
            <w:r w:rsidRPr="00955BC6">
              <w:rPr>
                <w:rFonts w:ascii="Calibri" w:eastAsia="Calibri" w:hAnsi="Calibri"/>
                <w:color w:val="000000"/>
                <w:spacing w:val="-6"/>
              </w:rPr>
              <w:t xml:space="preserve">Each utility must maintain and apply measurement and verification protocols to determine the amount of capacity resulting from demand response resources and to verify the acquisition or installation of the demand response resources being </w:t>
            </w:r>
            <w:proofErr w:type="gramStart"/>
            <w:r w:rsidRPr="00955BC6">
              <w:rPr>
                <w:rFonts w:ascii="Calibri" w:eastAsia="Calibri" w:hAnsi="Calibri"/>
                <w:color w:val="000000"/>
                <w:spacing w:val="-6"/>
              </w:rPr>
              <w:t>recorded</w:t>
            </w:r>
            <w:proofErr w:type="gramEnd"/>
            <w:r w:rsidRPr="00955BC6">
              <w:rPr>
                <w:rFonts w:ascii="Calibri" w:eastAsia="Calibri" w:hAnsi="Calibri"/>
                <w:color w:val="000000"/>
                <w:spacing w:val="-6"/>
              </w:rPr>
              <w:t xml:space="preserve"> or claimed.</w:t>
            </w:r>
          </w:p>
          <w:p w14:paraId="24592A75" w14:textId="77777777" w:rsidR="00B139DE" w:rsidRPr="00955BC6" w:rsidRDefault="00B139DE" w:rsidP="00955BC6">
            <w:pPr>
              <w:textAlignment w:val="baseline"/>
              <w:rPr>
                <w:rFonts w:ascii="Calibri" w:eastAsia="Calibri" w:hAnsi="Calibri"/>
                <w:b/>
                <w:color w:val="000000"/>
                <w:spacing w:val="-2"/>
              </w:rPr>
            </w:pPr>
          </w:p>
        </w:tc>
      </w:tr>
      <w:tr w:rsidR="00B139DE" w14:paraId="1708F4D4" w14:textId="77777777" w:rsidTr="007248F0">
        <w:tc>
          <w:tcPr>
            <w:tcW w:w="9715" w:type="dxa"/>
            <w:shd w:val="clear" w:color="auto" w:fill="auto"/>
          </w:tcPr>
          <w:p w14:paraId="461DC1A8" w14:textId="77777777" w:rsidR="00B139DE" w:rsidRDefault="00B139DE" w:rsidP="00DA5278">
            <w:pPr>
              <w:spacing w:line="288" w:lineRule="exact"/>
              <w:ind w:right="720"/>
              <w:textAlignment w:val="baseline"/>
              <w:rPr>
                <w:rFonts w:ascii="Calibri" w:eastAsia="Calibri" w:hAnsi="Calibri"/>
                <w:b/>
                <w:color w:val="000000"/>
                <w:sz w:val="23"/>
              </w:rPr>
            </w:pPr>
            <w:r>
              <w:rPr>
                <w:rFonts w:ascii="Calibri" w:eastAsia="Calibri" w:hAnsi="Calibri"/>
                <w:b/>
                <w:color w:val="000000"/>
                <w:sz w:val="23"/>
              </w:rPr>
              <w:lastRenderedPageBreak/>
              <w:t xml:space="preserve">194-40-340 – Acquisition of new resources other than renewable resources and energy storage </w:t>
            </w:r>
            <w:r>
              <w:rPr>
                <w:rFonts w:ascii="Calibri" w:eastAsia="Calibri" w:hAnsi="Calibri"/>
                <w:color w:val="000000"/>
                <w:sz w:val="23"/>
              </w:rPr>
              <w:t>[19.405.040(6)]</w:t>
            </w:r>
          </w:p>
          <w:p w14:paraId="7EF5513F" w14:textId="5308BE16" w:rsidR="00B139DE" w:rsidRDefault="00B139DE" w:rsidP="00960E9A">
            <w:pPr>
              <w:spacing w:before="145" w:line="309" w:lineRule="exact"/>
              <w:ind w:left="720" w:hanging="360"/>
              <w:textAlignment w:val="baseline"/>
              <w:rPr>
                <w:rFonts w:ascii="Calibri" w:eastAsia="Calibri" w:hAnsi="Calibri"/>
                <w:color w:val="000000"/>
                <w:sz w:val="23"/>
              </w:rPr>
            </w:pPr>
            <w:r>
              <w:rPr>
                <w:rFonts w:ascii="Calibri" w:eastAsia="Calibri" w:hAnsi="Calibri"/>
                <w:color w:val="000000"/>
                <w:sz w:val="23"/>
              </w:rPr>
              <w:t xml:space="preserve"> A utility </w:t>
            </w:r>
            <w:r w:rsidR="005F3C1F">
              <w:rPr>
                <w:rFonts w:ascii="Calibri" w:eastAsia="Calibri" w:hAnsi="Calibri"/>
                <w:color w:val="000000"/>
                <w:sz w:val="23"/>
              </w:rPr>
              <w:t xml:space="preserve">that </w:t>
            </w:r>
            <w:r>
              <w:rPr>
                <w:rFonts w:ascii="Calibri" w:eastAsia="Calibri" w:hAnsi="Calibri"/>
                <w:color w:val="000000"/>
                <w:sz w:val="23"/>
              </w:rPr>
              <w:t>acquire</w:t>
            </w:r>
            <w:r w:rsidR="005F3C1F">
              <w:rPr>
                <w:rFonts w:ascii="Calibri" w:eastAsia="Calibri" w:hAnsi="Calibri"/>
                <w:color w:val="000000"/>
                <w:sz w:val="23"/>
              </w:rPr>
              <w:t>s</w:t>
            </w:r>
            <w:r>
              <w:rPr>
                <w:rFonts w:ascii="Calibri" w:eastAsia="Calibri" w:hAnsi="Calibri"/>
                <w:color w:val="000000"/>
                <w:sz w:val="23"/>
              </w:rPr>
              <w:t xml:space="preserve"> a new fossil fuel generating resource or new </w:t>
            </w:r>
            <w:proofErr w:type="spellStart"/>
            <w:r>
              <w:rPr>
                <w:rFonts w:ascii="Calibri" w:eastAsia="Calibri" w:hAnsi="Calibri"/>
                <w:color w:val="000000"/>
                <w:sz w:val="23"/>
              </w:rPr>
              <w:t>nonemitting</w:t>
            </w:r>
            <w:proofErr w:type="spellEnd"/>
            <w:r>
              <w:rPr>
                <w:rFonts w:ascii="Calibri" w:eastAsia="Calibri" w:hAnsi="Calibri"/>
                <w:color w:val="000000"/>
                <w:sz w:val="23"/>
              </w:rPr>
              <w:t xml:space="preserve"> electric generation </w:t>
            </w:r>
            <w:r w:rsidR="005F3C1F">
              <w:rPr>
                <w:rFonts w:ascii="Calibri" w:eastAsia="Calibri" w:hAnsi="Calibri"/>
                <w:color w:val="000000"/>
                <w:sz w:val="23"/>
              </w:rPr>
              <w:t xml:space="preserve">must </w:t>
            </w:r>
            <w:r w:rsidR="004D6527">
              <w:rPr>
                <w:rFonts w:ascii="Calibri" w:eastAsia="Calibri" w:hAnsi="Calibri"/>
                <w:color w:val="000000"/>
                <w:sz w:val="23"/>
              </w:rPr>
              <w:t>document</w:t>
            </w:r>
            <w:r w:rsidR="005F3C1F">
              <w:rPr>
                <w:rFonts w:ascii="Calibri" w:eastAsia="Calibri" w:hAnsi="Calibri"/>
                <w:color w:val="000000"/>
                <w:sz w:val="23"/>
              </w:rPr>
              <w:t xml:space="preserve"> through its integrated resource plan </w:t>
            </w:r>
            <w:r w:rsidR="004D6527">
              <w:rPr>
                <w:rFonts w:ascii="Calibri" w:eastAsia="Calibri" w:hAnsi="Calibri"/>
                <w:color w:val="000000"/>
                <w:sz w:val="23"/>
              </w:rPr>
              <w:t xml:space="preserve">and any other analysis relied on in making its decision </w:t>
            </w:r>
            <w:r w:rsidR="005F3C1F">
              <w:rPr>
                <w:rFonts w:ascii="Calibri" w:eastAsia="Calibri" w:hAnsi="Calibri"/>
                <w:color w:val="000000"/>
                <w:sz w:val="23"/>
              </w:rPr>
              <w:t xml:space="preserve">that </w:t>
            </w:r>
            <w:r>
              <w:rPr>
                <w:rFonts w:ascii="Calibri" w:eastAsia="Calibri" w:hAnsi="Calibri"/>
                <w:color w:val="000000"/>
                <w:sz w:val="23"/>
              </w:rPr>
              <w:t xml:space="preserve">the resource acquisition is </w:t>
            </w:r>
            <w:r w:rsidR="004D6527">
              <w:rPr>
                <w:rFonts w:ascii="Calibri" w:eastAsia="Calibri" w:hAnsi="Calibri"/>
                <w:color w:val="000000"/>
                <w:sz w:val="23"/>
              </w:rPr>
              <w:t xml:space="preserve">consistent with meeting </w:t>
            </w:r>
            <w:r>
              <w:rPr>
                <w:rFonts w:ascii="Calibri" w:eastAsia="Calibri" w:hAnsi="Calibri"/>
                <w:color w:val="000000"/>
                <w:sz w:val="23"/>
              </w:rPr>
              <w:t xml:space="preserve">the utility’s targets under RCW 19.405.040 </w:t>
            </w:r>
            <w:r w:rsidR="00DB7DFE">
              <w:rPr>
                <w:rFonts w:ascii="Calibri" w:eastAsia="Calibri" w:hAnsi="Calibri"/>
                <w:color w:val="000000"/>
                <w:sz w:val="23"/>
              </w:rPr>
              <w:t xml:space="preserve">or the standard in RCW 19.405.050 </w:t>
            </w:r>
            <w:r>
              <w:rPr>
                <w:rFonts w:ascii="Calibri" w:eastAsia="Calibri" w:hAnsi="Calibri"/>
                <w:color w:val="000000"/>
                <w:sz w:val="23"/>
              </w:rPr>
              <w:t>at the lowest reasonable cost, considering risk.</w:t>
            </w:r>
            <w:r w:rsidR="005F3C1F">
              <w:rPr>
                <w:rFonts w:ascii="Calibri" w:eastAsia="Calibri" w:hAnsi="Calibri"/>
                <w:color w:val="000000"/>
                <w:sz w:val="23"/>
              </w:rPr>
              <w:t xml:space="preserve"> </w:t>
            </w:r>
            <w:r w:rsidR="00960E9A">
              <w:rPr>
                <w:rFonts w:ascii="Calibri" w:eastAsia="Calibri" w:hAnsi="Calibri"/>
                <w:color w:val="000000"/>
                <w:sz w:val="23"/>
              </w:rPr>
              <w:t>F</w:t>
            </w:r>
            <w:r>
              <w:rPr>
                <w:rFonts w:ascii="Calibri" w:eastAsia="Calibri" w:hAnsi="Calibri"/>
                <w:color w:val="000000"/>
                <w:sz w:val="23"/>
              </w:rPr>
              <w:t>or the purposes of this rule, a resource that commenced operation on or before May 7, 2019, is not a new resource.</w:t>
            </w:r>
          </w:p>
          <w:p w14:paraId="243ADCAB" w14:textId="77777777" w:rsidR="00B139DE" w:rsidRDefault="00B139DE" w:rsidP="00D158E6">
            <w:pPr>
              <w:spacing w:line="238" w:lineRule="exact"/>
              <w:textAlignment w:val="baseline"/>
              <w:rPr>
                <w:rFonts w:ascii="Calibri" w:eastAsia="Calibri" w:hAnsi="Calibri"/>
                <w:b/>
                <w:color w:val="000000"/>
                <w:spacing w:val="-2"/>
                <w:sz w:val="23"/>
              </w:rPr>
            </w:pPr>
          </w:p>
        </w:tc>
      </w:tr>
      <w:tr w:rsidR="00B139DE" w14:paraId="5F45D3BE" w14:textId="77777777" w:rsidTr="007248F0">
        <w:tc>
          <w:tcPr>
            <w:tcW w:w="9715" w:type="dxa"/>
            <w:shd w:val="clear" w:color="auto" w:fill="auto"/>
          </w:tcPr>
          <w:p w14:paraId="4DA515F9" w14:textId="77777777" w:rsidR="00B139DE" w:rsidRDefault="00B139DE" w:rsidP="00770DD7">
            <w:pPr>
              <w:ind w:right="288"/>
              <w:jc w:val="both"/>
              <w:textAlignment w:val="baseline"/>
              <w:rPr>
                <w:rFonts w:ascii="Calibri" w:eastAsia="Calibri" w:hAnsi="Calibri"/>
                <w:b/>
                <w:color w:val="000000"/>
                <w:sz w:val="23"/>
              </w:rPr>
            </w:pPr>
            <w:r>
              <w:rPr>
                <w:rFonts w:ascii="Calibri" w:eastAsia="Calibri" w:hAnsi="Calibri"/>
                <w:b/>
                <w:color w:val="000000"/>
                <w:sz w:val="23"/>
              </w:rPr>
              <w:t xml:space="preserve">194-40-350 – Use of alternative compliance options by utilities using 2% incremental cost threshold </w:t>
            </w:r>
            <w:r>
              <w:rPr>
                <w:rFonts w:ascii="Calibri" w:eastAsia="Calibri" w:hAnsi="Calibri"/>
                <w:color w:val="000000"/>
                <w:sz w:val="23"/>
              </w:rPr>
              <w:t>[19.405.060(4)(b)]</w:t>
            </w:r>
          </w:p>
          <w:p w14:paraId="5148CAB2" w14:textId="77777777" w:rsidR="00B139DE" w:rsidRDefault="00B139DE" w:rsidP="002C1C0C">
            <w:pPr>
              <w:numPr>
                <w:ilvl w:val="0"/>
                <w:numId w:val="27"/>
              </w:numPr>
              <w:tabs>
                <w:tab w:val="clear" w:pos="360"/>
                <w:tab w:val="left" w:pos="720"/>
              </w:tabs>
              <w:ind w:left="720" w:right="72" w:hanging="360"/>
              <w:textAlignment w:val="baseline"/>
              <w:rPr>
                <w:rFonts w:ascii="Calibri" w:eastAsia="Calibri" w:hAnsi="Calibri"/>
                <w:color w:val="000000"/>
                <w:sz w:val="23"/>
              </w:rPr>
            </w:pPr>
            <w:r>
              <w:rPr>
                <w:rFonts w:ascii="Calibri" w:eastAsia="Calibri" w:hAnsi="Calibri"/>
                <w:color w:val="000000"/>
                <w:sz w:val="23"/>
              </w:rPr>
              <w:t>Except as provided in subsection (2), a utility may not use any alternative compliance option under RCW 19.405.040(1)(b) in any GHG neutral compliance period if it relies on RCW 19.405.060(4)(a) as the basis for compliance with the standard under RCW 19.405.040(1) or RCW 19.405.050(1).</w:t>
            </w:r>
          </w:p>
          <w:p w14:paraId="7094F550" w14:textId="77777777" w:rsidR="00B139DE" w:rsidRDefault="00B139DE" w:rsidP="00770DD7">
            <w:pPr>
              <w:numPr>
                <w:ilvl w:val="0"/>
                <w:numId w:val="27"/>
              </w:numPr>
              <w:tabs>
                <w:tab w:val="clear" w:pos="360"/>
                <w:tab w:val="left" w:pos="720"/>
              </w:tabs>
              <w:ind w:left="720" w:hanging="360"/>
              <w:textAlignment w:val="baseline"/>
              <w:rPr>
                <w:rFonts w:ascii="Calibri" w:eastAsia="Calibri" w:hAnsi="Calibri"/>
                <w:color w:val="000000"/>
                <w:spacing w:val="-3"/>
                <w:sz w:val="23"/>
              </w:rPr>
            </w:pPr>
            <w:r>
              <w:rPr>
                <w:rFonts w:ascii="Calibri" w:eastAsia="Calibri" w:hAnsi="Calibri"/>
                <w:color w:val="000000"/>
                <w:spacing w:val="-3"/>
                <w:sz w:val="23"/>
              </w:rPr>
              <w:t>A utility relying on RCW 19.405.060(4)(a) may use an alternative compliance option if:</w:t>
            </w:r>
          </w:p>
          <w:p w14:paraId="1D93F86C" w14:textId="307FEE58" w:rsidR="00B139DE" w:rsidRDefault="00B139DE" w:rsidP="002C1C0C">
            <w:pPr>
              <w:tabs>
                <w:tab w:val="left" w:pos="360"/>
                <w:tab w:val="left" w:pos="1440"/>
              </w:tabs>
              <w:ind w:left="720" w:right="72"/>
              <w:textAlignment w:val="baseline"/>
              <w:rPr>
                <w:rFonts w:ascii="Calibri" w:eastAsia="Calibri" w:hAnsi="Calibri"/>
                <w:color w:val="000000"/>
                <w:sz w:val="23"/>
              </w:rPr>
            </w:pPr>
            <w:r>
              <w:rPr>
                <w:rFonts w:ascii="Calibri" w:eastAsia="Calibri" w:hAnsi="Calibri"/>
                <w:color w:val="000000"/>
                <w:sz w:val="23"/>
              </w:rPr>
              <w:t xml:space="preserve">(a) The utility demonstrates that no renewable resources or </w:t>
            </w:r>
            <w:proofErr w:type="spellStart"/>
            <w:r>
              <w:rPr>
                <w:rFonts w:ascii="Calibri" w:eastAsia="Calibri" w:hAnsi="Calibri"/>
                <w:color w:val="000000"/>
                <w:sz w:val="23"/>
              </w:rPr>
              <w:t>nonemitting</w:t>
            </w:r>
            <w:proofErr w:type="spellEnd"/>
            <w:r>
              <w:rPr>
                <w:rFonts w:ascii="Calibri" w:eastAsia="Calibri" w:hAnsi="Calibri"/>
                <w:color w:val="000000"/>
                <w:sz w:val="23"/>
              </w:rPr>
              <w:t xml:space="preserve"> electric generation was reasonably available; or</w:t>
            </w:r>
          </w:p>
          <w:p w14:paraId="50AE1289" w14:textId="19588F2A" w:rsidR="00B139DE" w:rsidRDefault="00B139DE" w:rsidP="0078346E">
            <w:pPr>
              <w:tabs>
                <w:tab w:val="left" w:pos="360"/>
                <w:tab w:val="left" w:pos="1440"/>
              </w:tabs>
              <w:ind w:left="720"/>
              <w:textAlignment w:val="baseline"/>
              <w:rPr>
                <w:rFonts w:ascii="Calibri" w:eastAsia="Calibri" w:hAnsi="Calibri"/>
                <w:color w:val="000000"/>
                <w:spacing w:val="-4"/>
                <w:sz w:val="23"/>
              </w:rPr>
            </w:pPr>
            <w:r>
              <w:rPr>
                <w:rFonts w:ascii="Calibri" w:eastAsia="Calibri" w:hAnsi="Calibri"/>
                <w:color w:val="000000"/>
                <w:spacing w:val="-4"/>
                <w:sz w:val="23"/>
              </w:rPr>
              <w:t xml:space="preserve">(b) The utility’s uses renewable resources and </w:t>
            </w:r>
            <w:proofErr w:type="spellStart"/>
            <w:r>
              <w:rPr>
                <w:rFonts w:ascii="Calibri" w:eastAsia="Calibri" w:hAnsi="Calibri"/>
                <w:color w:val="000000"/>
                <w:spacing w:val="-4"/>
                <w:sz w:val="23"/>
              </w:rPr>
              <w:t>nonemitting</w:t>
            </w:r>
            <w:proofErr w:type="spellEnd"/>
            <w:r>
              <w:rPr>
                <w:rFonts w:ascii="Calibri" w:eastAsia="Calibri" w:hAnsi="Calibri"/>
                <w:color w:val="000000"/>
                <w:spacing w:val="-4"/>
                <w:sz w:val="23"/>
              </w:rPr>
              <w:t xml:space="preserve"> electric generation in an amount equal to at least 80 percent of its annual retail electric load during the period.</w:t>
            </w:r>
          </w:p>
          <w:p w14:paraId="410A00AA" w14:textId="77777777" w:rsidR="00B139DE" w:rsidRDefault="00B139DE" w:rsidP="00770DD7">
            <w:pPr>
              <w:ind w:right="720"/>
              <w:textAlignment w:val="baseline"/>
              <w:rPr>
                <w:rFonts w:ascii="Calibri" w:eastAsia="Calibri" w:hAnsi="Calibri"/>
                <w:b/>
                <w:color w:val="000000"/>
                <w:sz w:val="23"/>
              </w:rPr>
            </w:pPr>
          </w:p>
        </w:tc>
      </w:tr>
      <w:tr w:rsidR="00B139DE" w14:paraId="627926C7" w14:textId="77777777" w:rsidTr="007248F0">
        <w:tc>
          <w:tcPr>
            <w:tcW w:w="9715" w:type="dxa"/>
            <w:shd w:val="clear" w:color="auto" w:fill="auto"/>
          </w:tcPr>
          <w:p w14:paraId="14D91524" w14:textId="77777777" w:rsidR="00B139DE" w:rsidRDefault="00B139DE" w:rsidP="00770DD7">
            <w:pPr>
              <w:spacing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194-40-360 – Temporary exemption, demonstration of plan to achieve full compliance </w:t>
            </w:r>
            <w:r>
              <w:rPr>
                <w:rFonts w:ascii="Calibri" w:eastAsia="Calibri" w:hAnsi="Calibri"/>
                <w:color w:val="000000"/>
                <w:spacing w:val="-4"/>
                <w:sz w:val="23"/>
              </w:rPr>
              <w:t>[19.405.090]</w:t>
            </w:r>
          </w:p>
          <w:p w14:paraId="670CB5E1" w14:textId="68DAE7C6" w:rsidR="00B139DE" w:rsidRDefault="00B139DE" w:rsidP="002C1C0C">
            <w:pPr>
              <w:numPr>
                <w:ilvl w:val="0"/>
                <w:numId w:val="29"/>
              </w:numPr>
              <w:tabs>
                <w:tab w:val="clear" w:pos="288"/>
                <w:tab w:val="left" w:pos="792"/>
              </w:tabs>
              <w:spacing w:before="9"/>
              <w:ind w:left="792" w:right="72" w:hanging="288"/>
              <w:textAlignment w:val="baseline"/>
              <w:rPr>
                <w:rFonts w:ascii="Calibri" w:eastAsia="Calibri" w:hAnsi="Calibri"/>
                <w:color w:val="000000"/>
              </w:rPr>
            </w:pPr>
            <w:r>
              <w:rPr>
                <w:rFonts w:ascii="Calibri" w:eastAsia="Calibri" w:hAnsi="Calibri"/>
                <w:color w:val="000000"/>
              </w:rPr>
              <w:t xml:space="preserve">A utility must notify Commerce at least thirty days prior to </w:t>
            </w:r>
            <w:r w:rsidR="00960E9A">
              <w:rPr>
                <w:rFonts w:ascii="Calibri" w:eastAsia="Calibri" w:hAnsi="Calibri"/>
                <w:color w:val="000000"/>
              </w:rPr>
              <w:t xml:space="preserve">consideration of </w:t>
            </w:r>
            <w:r>
              <w:rPr>
                <w:rFonts w:ascii="Calibri" w:eastAsia="Calibri" w:hAnsi="Calibri"/>
                <w:color w:val="000000"/>
              </w:rPr>
              <w:t xml:space="preserve">action by the governing body to authorize a temporary exemption under RCW 19.405.090(5)(a). The notice must provide all information that the governing body will rely on in making a decision </w:t>
            </w:r>
            <w:r w:rsidR="00960E9A">
              <w:rPr>
                <w:rFonts w:ascii="Calibri" w:eastAsia="Calibri" w:hAnsi="Calibri"/>
                <w:color w:val="000000"/>
              </w:rPr>
              <w:t xml:space="preserve">whether </w:t>
            </w:r>
            <w:r>
              <w:rPr>
                <w:rFonts w:ascii="Calibri" w:eastAsia="Calibri" w:hAnsi="Calibri"/>
                <w:color w:val="000000"/>
              </w:rPr>
              <w:t>to authorize a temporary exemption.</w:t>
            </w:r>
          </w:p>
          <w:p w14:paraId="6DAA7498" w14:textId="77777777" w:rsidR="00B139DE" w:rsidRDefault="00B139DE" w:rsidP="002C1C0C">
            <w:pPr>
              <w:numPr>
                <w:ilvl w:val="0"/>
                <w:numId w:val="29"/>
              </w:numPr>
              <w:tabs>
                <w:tab w:val="clear" w:pos="288"/>
                <w:tab w:val="left" w:pos="792"/>
              </w:tabs>
              <w:ind w:left="792" w:right="144" w:hanging="288"/>
              <w:textAlignment w:val="baseline"/>
              <w:rPr>
                <w:rFonts w:ascii="Calibri" w:eastAsia="Calibri" w:hAnsi="Calibri"/>
                <w:color w:val="000000"/>
              </w:rPr>
            </w:pPr>
            <w:r>
              <w:rPr>
                <w:rFonts w:ascii="Calibri" w:eastAsia="Calibri" w:hAnsi="Calibri"/>
                <w:color w:val="000000"/>
              </w:rPr>
              <w:t>If the governing body of a utility authorizes a temporary exemption under RCW 19.405.090(5</w:t>
            </w:r>
            <w:proofErr w:type="gramStart"/>
            <w:r>
              <w:rPr>
                <w:rFonts w:ascii="Calibri" w:eastAsia="Calibri" w:hAnsi="Calibri"/>
                <w:color w:val="000000"/>
              </w:rPr>
              <w:t>)(</w:t>
            </w:r>
            <w:proofErr w:type="gramEnd"/>
            <w:r>
              <w:rPr>
                <w:rFonts w:ascii="Calibri" w:eastAsia="Calibri" w:hAnsi="Calibri"/>
                <w:color w:val="000000"/>
              </w:rPr>
              <w:t>a), the governing body must notify Commerce within 30 days of the action. The governing body’s notice must include a plan to take specific actions to achieve full compliance with RCW 19.405.040(1).</w:t>
            </w:r>
          </w:p>
          <w:p w14:paraId="3F47CEB9" w14:textId="77777777" w:rsidR="00B139DE" w:rsidRDefault="00B139DE" w:rsidP="00DA5278">
            <w:pPr>
              <w:spacing w:line="288" w:lineRule="exact"/>
              <w:ind w:right="720"/>
              <w:textAlignment w:val="baseline"/>
              <w:rPr>
                <w:rFonts w:ascii="Calibri" w:eastAsia="Calibri" w:hAnsi="Calibri"/>
                <w:b/>
                <w:color w:val="000000"/>
                <w:sz w:val="23"/>
              </w:rPr>
            </w:pPr>
          </w:p>
        </w:tc>
      </w:tr>
      <w:tr w:rsidR="00B139DE" w14:paraId="6B814559" w14:textId="77777777" w:rsidTr="007248F0">
        <w:trPr>
          <w:trHeight w:val="7640"/>
        </w:trPr>
        <w:tc>
          <w:tcPr>
            <w:tcW w:w="9715" w:type="dxa"/>
            <w:shd w:val="clear" w:color="auto" w:fill="auto"/>
          </w:tcPr>
          <w:p w14:paraId="5CD17E54" w14:textId="77777777" w:rsidR="00B139DE" w:rsidRDefault="00B139DE" w:rsidP="00287E73">
            <w:pPr>
              <w:spacing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 xml:space="preserve">194-40-400 – Documentation and retirement of renewable energy credits </w:t>
            </w:r>
            <w:r>
              <w:rPr>
                <w:rFonts w:ascii="Calibri" w:eastAsia="Calibri" w:hAnsi="Calibri"/>
                <w:color w:val="000000"/>
                <w:spacing w:val="-4"/>
                <w:sz w:val="23"/>
              </w:rPr>
              <w:t>[19.405.040(1)(c)]</w:t>
            </w:r>
          </w:p>
          <w:p w14:paraId="6BE834C7" w14:textId="77777777" w:rsidR="00B139DE" w:rsidRDefault="00B139DE" w:rsidP="00287E73">
            <w:pPr>
              <w:spacing w:before="205" w:line="308" w:lineRule="exact"/>
              <w:ind w:left="792" w:right="72" w:hanging="360"/>
              <w:textAlignment w:val="baseline"/>
              <w:rPr>
                <w:rFonts w:ascii="Calibri" w:eastAsia="Calibri" w:hAnsi="Calibri"/>
                <w:color w:val="000000"/>
                <w:sz w:val="23"/>
              </w:rPr>
            </w:pPr>
            <w:r>
              <w:rPr>
                <w:rFonts w:ascii="Calibri" w:eastAsia="Calibri" w:hAnsi="Calibri"/>
                <w:color w:val="000000"/>
                <w:sz w:val="23"/>
              </w:rPr>
              <w:t>(1) The Western Renewable Energy Generation Information System is the renewable energy credit tracking system for purposes of verification of RECs under chapter 19.405 RCW.</w:t>
            </w:r>
          </w:p>
          <w:p w14:paraId="463DB572" w14:textId="5D04B102" w:rsidR="00B139DE" w:rsidRDefault="00B139DE" w:rsidP="00287E73">
            <w:pPr>
              <w:spacing w:before="2" w:line="308" w:lineRule="exact"/>
              <w:ind w:left="792" w:right="144" w:hanging="360"/>
              <w:textAlignment w:val="baseline"/>
              <w:rPr>
                <w:rFonts w:ascii="Calibri" w:eastAsia="Calibri" w:hAnsi="Calibri"/>
                <w:color w:val="000000"/>
                <w:spacing w:val="-4"/>
                <w:sz w:val="23"/>
              </w:rPr>
            </w:pPr>
            <w:r>
              <w:rPr>
                <w:rFonts w:ascii="Calibri" w:eastAsia="Calibri" w:hAnsi="Calibri"/>
                <w:color w:val="000000"/>
                <w:spacing w:val="-4"/>
                <w:sz w:val="23"/>
              </w:rPr>
              <w:t>(2) (a) Except as provided in subsection (b), each utility must verify and document by the retirement of RECs all electricity from renewable resources used to meet a target in an interim performance period or to comply with the requirements of RCW 19.405.040 or RCW 19.405.050.</w:t>
            </w:r>
          </w:p>
          <w:p w14:paraId="123D90BD" w14:textId="5A46DE37" w:rsidR="00B139DE" w:rsidRDefault="00B139DE" w:rsidP="00287E73">
            <w:pPr>
              <w:spacing w:before="2" w:line="308" w:lineRule="exact"/>
              <w:ind w:left="792" w:right="144"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       </w:t>
            </w:r>
            <w:proofErr w:type="gramStart"/>
            <w:r>
              <w:rPr>
                <w:rFonts w:ascii="Calibri" w:eastAsia="Calibri" w:hAnsi="Calibri"/>
                <w:color w:val="000000"/>
                <w:spacing w:val="-4"/>
                <w:sz w:val="23"/>
              </w:rPr>
              <w:t xml:space="preserve">(b) A utility is not required to </w:t>
            </w:r>
            <w:r w:rsidR="00860257">
              <w:rPr>
                <w:rFonts w:ascii="Calibri" w:eastAsia="Calibri" w:hAnsi="Calibri"/>
                <w:color w:val="000000"/>
                <w:spacing w:val="-4"/>
                <w:sz w:val="23"/>
              </w:rPr>
              <w:t xml:space="preserve">comply with subsection (2)(a) </w:t>
            </w:r>
            <w:r>
              <w:rPr>
                <w:rFonts w:ascii="Calibri" w:eastAsia="Calibri" w:hAnsi="Calibri"/>
                <w:color w:val="000000"/>
                <w:spacing w:val="-4"/>
                <w:sz w:val="23"/>
              </w:rPr>
              <w:t>for electricity from renewable resources used to meet a target in an interim performance period if: (</w:t>
            </w:r>
            <w:proofErr w:type="spellStart"/>
            <w:r>
              <w:rPr>
                <w:rFonts w:ascii="Calibri" w:eastAsia="Calibri" w:hAnsi="Calibri"/>
                <w:color w:val="000000"/>
                <w:spacing w:val="-4"/>
                <w:sz w:val="23"/>
              </w:rPr>
              <w:t>i</w:t>
            </w:r>
            <w:proofErr w:type="spellEnd"/>
            <w:r>
              <w:rPr>
                <w:rFonts w:ascii="Calibri" w:eastAsia="Calibri" w:hAnsi="Calibri"/>
                <w:color w:val="000000"/>
                <w:spacing w:val="-4"/>
                <w:sz w:val="23"/>
              </w:rPr>
              <w:t xml:space="preserve">) The energy source for the generating facility is water; (ii) The generating facility is not registered in WREGIS or the WREGIS account holder for the generating facility verifies that no RECs have been created for the electricity used to meet CETA requirements; and (iii) The utility owned the generating facility or purchased the electricity directly from the owner of the facility or, in the case of federal generating facilities, from </w:t>
            </w:r>
            <w:r w:rsidR="00860257">
              <w:rPr>
                <w:rFonts w:ascii="Calibri" w:eastAsia="Calibri" w:hAnsi="Calibri"/>
                <w:color w:val="000000"/>
                <w:spacing w:val="-4"/>
                <w:sz w:val="23"/>
              </w:rPr>
              <w:t xml:space="preserve">the </w:t>
            </w:r>
            <w:r>
              <w:rPr>
                <w:rFonts w:ascii="Calibri" w:eastAsia="Calibri" w:hAnsi="Calibri"/>
                <w:color w:val="000000"/>
                <w:spacing w:val="-4"/>
                <w:sz w:val="23"/>
              </w:rPr>
              <w:t>B</w:t>
            </w:r>
            <w:r w:rsidR="00860257">
              <w:rPr>
                <w:rFonts w:ascii="Calibri" w:eastAsia="Calibri" w:hAnsi="Calibri"/>
                <w:color w:val="000000"/>
                <w:spacing w:val="-4"/>
                <w:sz w:val="23"/>
              </w:rPr>
              <w:t xml:space="preserve">onneville </w:t>
            </w:r>
            <w:r>
              <w:rPr>
                <w:rFonts w:ascii="Calibri" w:eastAsia="Calibri" w:hAnsi="Calibri"/>
                <w:color w:val="000000"/>
                <w:spacing w:val="-4"/>
                <w:sz w:val="23"/>
              </w:rPr>
              <w:t>P</w:t>
            </w:r>
            <w:r w:rsidR="00860257">
              <w:rPr>
                <w:rFonts w:ascii="Calibri" w:eastAsia="Calibri" w:hAnsi="Calibri"/>
                <w:color w:val="000000"/>
                <w:spacing w:val="-4"/>
                <w:sz w:val="23"/>
              </w:rPr>
              <w:t xml:space="preserve">ower </w:t>
            </w:r>
            <w:r>
              <w:rPr>
                <w:rFonts w:ascii="Calibri" w:eastAsia="Calibri" w:hAnsi="Calibri"/>
                <w:color w:val="000000"/>
                <w:spacing w:val="-4"/>
                <w:sz w:val="23"/>
              </w:rPr>
              <w:t>A</w:t>
            </w:r>
            <w:r w:rsidR="00860257">
              <w:rPr>
                <w:rFonts w:ascii="Calibri" w:eastAsia="Calibri" w:hAnsi="Calibri"/>
                <w:color w:val="000000"/>
                <w:spacing w:val="-4"/>
                <w:sz w:val="23"/>
              </w:rPr>
              <w:t>dministration</w:t>
            </w:r>
            <w:r>
              <w:rPr>
                <w:rFonts w:ascii="Calibri" w:eastAsia="Calibri" w:hAnsi="Calibri"/>
                <w:color w:val="000000"/>
                <w:spacing w:val="-4"/>
                <w:sz w:val="23"/>
              </w:rPr>
              <w:t>.</w:t>
            </w:r>
            <w:proofErr w:type="gramEnd"/>
            <w:r>
              <w:rPr>
                <w:rFonts w:ascii="Calibri" w:eastAsia="Calibri" w:hAnsi="Calibri"/>
                <w:color w:val="000000"/>
                <w:spacing w:val="-4"/>
                <w:sz w:val="23"/>
              </w:rPr>
              <w:t xml:space="preserve">  </w:t>
            </w:r>
          </w:p>
          <w:p w14:paraId="4866B9B2" w14:textId="180781CE" w:rsidR="00B139DE" w:rsidRDefault="00B139DE" w:rsidP="00CF0280">
            <w:pPr>
              <w:spacing w:line="308" w:lineRule="exact"/>
              <w:ind w:left="792" w:right="72" w:hanging="360"/>
              <w:textAlignment w:val="baseline"/>
              <w:rPr>
                <w:rFonts w:ascii="Calibri" w:eastAsia="Calibri" w:hAnsi="Calibri"/>
                <w:color w:val="000000"/>
                <w:spacing w:val="-3"/>
                <w:sz w:val="23"/>
              </w:rPr>
            </w:pPr>
            <w:r>
              <w:rPr>
                <w:rFonts w:ascii="Calibri" w:eastAsia="Calibri" w:hAnsi="Calibri"/>
                <w:color w:val="000000"/>
                <w:spacing w:val="-3"/>
                <w:sz w:val="23"/>
              </w:rPr>
              <w:t>(3) Each utility using a REC under this chapter must document the following:</w:t>
            </w:r>
          </w:p>
          <w:p w14:paraId="27EEAEFE" w14:textId="2F5A3AB5" w:rsidR="00B139DE" w:rsidRDefault="00B139DE" w:rsidP="0078346E">
            <w:pPr>
              <w:tabs>
                <w:tab w:val="left" w:pos="360"/>
                <w:tab w:val="left" w:pos="1512"/>
              </w:tabs>
              <w:spacing w:before="83" w:line="229" w:lineRule="exact"/>
              <w:ind w:left="720"/>
              <w:textAlignment w:val="baseline"/>
              <w:rPr>
                <w:rFonts w:ascii="Calibri" w:eastAsia="Calibri" w:hAnsi="Calibri"/>
                <w:color w:val="000000"/>
                <w:spacing w:val="-3"/>
                <w:sz w:val="23"/>
              </w:rPr>
            </w:pPr>
            <w:r>
              <w:rPr>
                <w:rFonts w:ascii="Calibri" w:eastAsia="Calibri" w:hAnsi="Calibri"/>
                <w:color w:val="000000"/>
                <w:spacing w:val="-3"/>
                <w:sz w:val="23"/>
              </w:rPr>
              <w:t>(a) The REC represents the output of a renewable resource;</w:t>
            </w:r>
          </w:p>
          <w:p w14:paraId="0ABC0B23" w14:textId="143CB80D" w:rsidR="00B139DE" w:rsidRDefault="00B139DE" w:rsidP="0078346E">
            <w:pPr>
              <w:tabs>
                <w:tab w:val="left" w:pos="360"/>
                <w:tab w:val="left" w:pos="1512"/>
              </w:tabs>
              <w:spacing w:before="78" w:line="229" w:lineRule="exact"/>
              <w:ind w:left="720"/>
              <w:textAlignment w:val="baseline"/>
              <w:rPr>
                <w:rFonts w:ascii="Calibri" w:eastAsia="Calibri" w:hAnsi="Calibri"/>
                <w:color w:val="000000"/>
                <w:spacing w:val="-3"/>
                <w:sz w:val="23"/>
              </w:rPr>
            </w:pPr>
            <w:r>
              <w:rPr>
                <w:rFonts w:ascii="Calibri" w:eastAsia="Calibri" w:hAnsi="Calibri"/>
                <w:color w:val="000000"/>
                <w:spacing w:val="-3"/>
                <w:sz w:val="23"/>
              </w:rPr>
              <w:t>(b) The vintage of the REC is a year within the applicable performance period or compliance period; and</w:t>
            </w:r>
          </w:p>
          <w:p w14:paraId="6B03EE6A" w14:textId="77609CA6" w:rsidR="00B139DE" w:rsidRDefault="00B139DE" w:rsidP="0078346E">
            <w:pPr>
              <w:tabs>
                <w:tab w:val="left" w:pos="360"/>
                <w:tab w:val="left" w:pos="1512"/>
              </w:tabs>
              <w:spacing w:before="4" w:line="308" w:lineRule="exact"/>
              <w:ind w:left="720" w:right="216"/>
              <w:textAlignment w:val="baseline"/>
              <w:rPr>
                <w:rFonts w:ascii="Calibri" w:eastAsia="Calibri" w:hAnsi="Calibri"/>
                <w:color w:val="000000"/>
                <w:sz w:val="23"/>
              </w:rPr>
            </w:pPr>
            <w:r>
              <w:rPr>
                <w:rFonts w:ascii="Calibri" w:eastAsia="Calibri" w:hAnsi="Calibri"/>
                <w:color w:val="000000"/>
                <w:sz w:val="23"/>
              </w:rPr>
              <w:t>(c) The utility has retired the REC to a retirement subaccount of the utility within WREGIS using the following values in the certificate transfer:</w:t>
            </w:r>
          </w:p>
          <w:p w14:paraId="10DE5B43" w14:textId="4002C2BC" w:rsidR="00B139DE" w:rsidRDefault="00B139DE" w:rsidP="0078346E">
            <w:pPr>
              <w:tabs>
                <w:tab w:val="left" w:pos="288"/>
                <w:tab w:val="left" w:pos="2232"/>
              </w:tabs>
              <w:spacing w:line="307" w:lineRule="exact"/>
              <w:ind w:left="1440" w:right="216"/>
              <w:textAlignment w:val="baseline"/>
              <w:rPr>
                <w:rFonts w:ascii="Calibri" w:eastAsia="Calibri" w:hAnsi="Calibri"/>
                <w:color w:val="000000"/>
                <w:sz w:val="23"/>
              </w:rPr>
            </w:pPr>
            <w:r>
              <w:rPr>
                <w:rFonts w:ascii="Calibri" w:eastAsia="Calibri" w:hAnsi="Calibri"/>
                <w:color w:val="000000"/>
                <w:sz w:val="23"/>
              </w:rPr>
              <w:t>(</w:t>
            </w:r>
            <w:proofErr w:type="spellStart"/>
            <w:r>
              <w:rPr>
                <w:rFonts w:ascii="Calibri" w:eastAsia="Calibri" w:hAnsi="Calibri"/>
                <w:color w:val="000000"/>
                <w:sz w:val="23"/>
              </w:rPr>
              <w:t>i</w:t>
            </w:r>
            <w:proofErr w:type="spellEnd"/>
            <w:r>
              <w:rPr>
                <w:rFonts w:ascii="Calibri" w:eastAsia="Calibri" w:hAnsi="Calibri"/>
                <w:color w:val="000000"/>
                <w:sz w:val="23"/>
              </w:rPr>
              <w:t>) Retirement type: Used by the account holder for a state-regulated renewable portfolio standard/provincial utility portfolio standard;</w:t>
            </w:r>
          </w:p>
          <w:p w14:paraId="3D5FCB78" w14:textId="670C86B7" w:rsidR="00B139DE" w:rsidRDefault="00B139DE" w:rsidP="0078346E">
            <w:pPr>
              <w:tabs>
                <w:tab w:val="left" w:pos="288"/>
                <w:tab w:val="left" w:pos="2232"/>
              </w:tabs>
              <w:spacing w:before="83" w:line="229" w:lineRule="exact"/>
              <w:ind w:left="1440"/>
              <w:textAlignment w:val="baseline"/>
              <w:rPr>
                <w:rFonts w:ascii="Calibri" w:eastAsia="Calibri" w:hAnsi="Calibri"/>
                <w:color w:val="000000"/>
                <w:spacing w:val="-3"/>
                <w:sz w:val="23"/>
              </w:rPr>
            </w:pPr>
            <w:r>
              <w:rPr>
                <w:rFonts w:ascii="Calibri" w:eastAsia="Calibri" w:hAnsi="Calibri"/>
                <w:color w:val="000000"/>
                <w:spacing w:val="-3"/>
                <w:sz w:val="23"/>
              </w:rPr>
              <w:t>(ii) State/province: Washington; and</w:t>
            </w:r>
          </w:p>
          <w:p w14:paraId="1F0D81EE" w14:textId="2C777D0F" w:rsidR="00B139DE" w:rsidRDefault="00B139DE" w:rsidP="0078346E">
            <w:pPr>
              <w:tabs>
                <w:tab w:val="left" w:pos="288"/>
                <w:tab w:val="left" w:pos="2232"/>
              </w:tabs>
              <w:spacing w:before="73" w:line="229" w:lineRule="exact"/>
              <w:ind w:left="1440"/>
              <w:textAlignment w:val="baseline"/>
              <w:rPr>
                <w:rFonts w:ascii="Calibri" w:eastAsia="Calibri" w:hAnsi="Calibri"/>
                <w:color w:val="000000"/>
                <w:spacing w:val="-3"/>
                <w:sz w:val="23"/>
              </w:rPr>
            </w:pPr>
            <w:r>
              <w:rPr>
                <w:rFonts w:ascii="Calibri" w:eastAsia="Calibri" w:hAnsi="Calibri"/>
                <w:color w:val="000000"/>
                <w:spacing w:val="-3"/>
                <w:sz w:val="23"/>
              </w:rPr>
              <w:t>(iii) Compliance year: Within the applicable performance period or compliance period.</w:t>
            </w:r>
          </w:p>
          <w:p w14:paraId="643E37F0" w14:textId="77777777" w:rsidR="00B139DE" w:rsidRDefault="00B139DE" w:rsidP="00CF0280">
            <w:pPr>
              <w:spacing w:line="308" w:lineRule="exact"/>
              <w:ind w:left="792" w:right="72" w:hanging="360"/>
              <w:textAlignment w:val="baseline"/>
              <w:rPr>
                <w:rFonts w:ascii="Calibri" w:eastAsia="Calibri" w:hAnsi="Calibri"/>
                <w:color w:val="000000"/>
                <w:spacing w:val="-3"/>
                <w:sz w:val="23"/>
              </w:rPr>
            </w:pPr>
            <w:r>
              <w:rPr>
                <w:rFonts w:ascii="Calibri" w:eastAsia="Calibri" w:hAnsi="Calibri"/>
                <w:color w:val="000000"/>
                <w:spacing w:val="-3"/>
                <w:sz w:val="23"/>
              </w:rPr>
              <w:t>(4) A utility may use any REC retired to comply with RCW 19.285.040 for the purposes identified in</w:t>
            </w:r>
          </w:p>
          <w:p w14:paraId="41F4E008" w14:textId="77777777" w:rsidR="00B139DE" w:rsidRPr="00CF0280" w:rsidRDefault="00B139DE" w:rsidP="00380F64">
            <w:pPr>
              <w:ind w:left="792" w:right="216"/>
              <w:textAlignment w:val="baseline"/>
              <w:rPr>
                <w:rFonts w:ascii="Calibri" w:eastAsia="Calibri" w:hAnsi="Calibri"/>
                <w:color w:val="000000"/>
                <w:sz w:val="23"/>
              </w:rPr>
            </w:pPr>
            <w:proofErr w:type="gramStart"/>
            <w:r>
              <w:rPr>
                <w:rFonts w:ascii="Calibri" w:eastAsia="Calibri" w:hAnsi="Calibri"/>
                <w:color w:val="000000"/>
                <w:sz w:val="23"/>
              </w:rPr>
              <w:t>subsection</w:t>
            </w:r>
            <w:proofErr w:type="gramEnd"/>
            <w:r>
              <w:rPr>
                <w:rFonts w:ascii="Calibri" w:eastAsia="Calibri" w:hAnsi="Calibri"/>
                <w:color w:val="000000"/>
                <w:sz w:val="23"/>
              </w:rPr>
              <w:t xml:space="preserve"> (2) if the compliance year indicated in the retirement documentation of the REC is within the compliance period of the standard or target identified in subsection (2).</w:t>
            </w:r>
          </w:p>
        </w:tc>
      </w:tr>
      <w:tr w:rsidR="007248F0" w14:paraId="09F07FFA" w14:textId="77777777" w:rsidTr="007248F0">
        <w:trPr>
          <w:trHeight w:val="1008"/>
        </w:trPr>
        <w:tc>
          <w:tcPr>
            <w:tcW w:w="9715" w:type="dxa"/>
            <w:shd w:val="clear" w:color="auto" w:fill="auto"/>
          </w:tcPr>
          <w:p w14:paraId="6874A799" w14:textId="77777777" w:rsidR="007248F0" w:rsidRDefault="007248F0" w:rsidP="007248F0">
            <w:pPr>
              <w:ind w:left="72" w:right="576"/>
              <w:textAlignment w:val="baseline"/>
              <w:rPr>
                <w:rFonts w:ascii="Calibri" w:eastAsia="Calibri" w:hAnsi="Calibri"/>
                <w:color w:val="000000"/>
                <w:sz w:val="23"/>
              </w:rPr>
            </w:pPr>
            <w:r>
              <w:rPr>
                <w:rFonts w:ascii="Calibri" w:eastAsia="Calibri" w:hAnsi="Calibri"/>
                <w:b/>
                <w:color w:val="000000"/>
                <w:sz w:val="23"/>
              </w:rPr>
              <w:t>194-40-410 Use of renewable energy credits other than unbundled RECs</w:t>
            </w:r>
          </w:p>
          <w:p w14:paraId="5E4E903E" w14:textId="77777777" w:rsidR="007248F0" w:rsidRDefault="007248F0" w:rsidP="007248F0">
            <w:pPr>
              <w:spacing w:line="308" w:lineRule="exact"/>
              <w:ind w:left="792" w:right="72" w:hanging="360"/>
              <w:textAlignment w:val="baseline"/>
              <w:rPr>
                <w:rFonts w:ascii="Calibri" w:eastAsia="Calibri" w:hAnsi="Calibri"/>
                <w:color w:val="000000"/>
                <w:sz w:val="23"/>
              </w:rPr>
            </w:pPr>
            <w:r>
              <w:rPr>
                <w:rFonts w:ascii="Calibri" w:eastAsia="Calibri" w:hAnsi="Calibri"/>
                <w:color w:val="000000"/>
                <w:sz w:val="23"/>
              </w:rPr>
              <w:t>(1) This rule applies to any REC, other than an unbundled REC, used to comply with the requirements of RCW 19.405.040(1</w:t>
            </w:r>
            <w:proofErr w:type="gramStart"/>
            <w:r>
              <w:rPr>
                <w:rFonts w:ascii="Calibri" w:eastAsia="Calibri" w:hAnsi="Calibri"/>
                <w:color w:val="000000"/>
                <w:sz w:val="23"/>
              </w:rPr>
              <w:t>)(</w:t>
            </w:r>
            <w:proofErr w:type="gramEnd"/>
            <w:r>
              <w:rPr>
                <w:rFonts w:ascii="Calibri" w:eastAsia="Calibri" w:hAnsi="Calibri"/>
                <w:color w:val="000000"/>
                <w:sz w:val="23"/>
              </w:rPr>
              <w:t>a) or to demonstrate performance compared to an interim target established under RCW 19.405.060(1).</w:t>
            </w:r>
          </w:p>
          <w:p w14:paraId="07007770" w14:textId="77777777" w:rsidR="007248F0" w:rsidRDefault="007248F0" w:rsidP="007248F0">
            <w:pPr>
              <w:spacing w:line="308" w:lineRule="exact"/>
              <w:ind w:left="792" w:right="72" w:hanging="360"/>
              <w:textAlignment w:val="baseline"/>
              <w:rPr>
                <w:rFonts w:ascii="Calibri" w:eastAsia="Calibri" w:hAnsi="Calibri"/>
                <w:color w:val="000000"/>
                <w:spacing w:val="-4"/>
                <w:sz w:val="23"/>
              </w:rPr>
            </w:pPr>
            <w:r>
              <w:rPr>
                <w:rFonts w:ascii="Calibri" w:eastAsia="Calibri" w:hAnsi="Calibri"/>
                <w:color w:val="000000"/>
                <w:sz w:val="23"/>
              </w:rPr>
              <w:t xml:space="preserve">(2) The utility must acquire the REC and the electricity associated with the REC in a </w:t>
            </w:r>
            <w:r>
              <w:rPr>
                <w:rFonts w:ascii="Calibri" w:eastAsia="Calibri" w:hAnsi="Calibri"/>
                <w:color w:val="000000"/>
                <w:spacing w:val="-4"/>
                <w:sz w:val="23"/>
              </w:rPr>
              <w:t>single transaction through ownership or control of the generating facility or through a contract for purchase or exchange.</w:t>
            </w:r>
          </w:p>
          <w:p w14:paraId="37F2C028" w14:textId="77777777" w:rsidR="007248F0" w:rsidRDefault="007248F0" w:rsidP="007248F0">
            <w:pPr>
              <w:spacing w:line="308" w:lineRule="exact"/>
              <w:ind w:left="792" w:right="72" w:hanging="360"/>
              <w:textAlignment w:val="baseline"/>
              <w:rPr>
                <w:rFonts w:ascii="Calibri" w:eastAsia="Calibri" w:hAnsi="Calibri"/>
                <w:color w:val="000000"/>
                <w:spacing w:val="-4"/>
                <w:sz w:val="23"/>
              </w:rPr>
            </w:pPr>
            <w:r>
              <w:rPr>
                <w:rFonts w:ascii="Calibri" w:eastAsia="Calibri" w:hAnsi="Calibri"/>
                <w:color w:val="000000"/>
                <w:spacing w:val="-4"/>
                <w:sz w:val="23"/>
              </w:rPr>
              <w:t>(3)  (a) The electricity associated with the REC must be generated by a generating facility located within the balancing authority area of the utility’s Washington operations; or</w:t>
            </w:r>
          </w:p>
          <w:p w14:paraId="76C28868" w14:textId="77777777" w:rsidR="007248F0" w:rsidRDefault="007248F0" w:rsidP="007248F0">
            <w:pPr>
              <w:spacing w:line="308" w:lineRule="exact"/>
              <w:ind w:left="792" w:right="72" w:hanging="360"/>
              <w:textAlignment w:val="baseline"/>
              <w:rPr>
                <w:rFonts w:ascii="Calibri" w:eastAsia="Calibri" w:hAnsi="Calibri"/>
                <w:color w:val="000000"/>
                <w:spacing w:val="-4"/>
                <w:sz w:val="23"/>
              </w:rPr>
            </w:pPr>
            <w:r>
              <w:rPr>
                <w:rFonts w:ascii="Calibri" w:eastAsia="Calibri" w:hAnsi="Calibri"/>
                <w:color w:val="000000"/>
                <w:spacing w:val="-4"/>
                <w:sz w:val="23"/>
              </w:rPr>
              <w:tab/>
              <w:t xml:space="preserve">(b) The utility must acquire the electricity associated with the REC at one of the following points of delivery: </w:t>
            </w:r>
          </w:p>
          <w:p w14:paraId="1FF801BB" w14:textId="77777777" w:rsidR="007248F0" w:rsidRDefault="007248F0" w:rsidP="007248F0">
            <w:pPr>
              <w:numPr>
                <w:ilvl w:val="0"/>
                <w:numId w:val="44"/>
              </w:numPr>
              <w:tabs>
                <w:tab w:val="left" w:pos="360"/>
                <w:tab w:val="left" w:pos="2520"/>
              </w:tabs>
              <w:spacing w:before="39" w:line="230" w:lineRule="exact"/>
              <w:ind w:left="2520" w:hanging="360"/>
              <w:textAlignment w:val="baseline"/>
              <w:rPr>
                <w:rFonts w:ascii="Calibri" w:eastAsia="Calibri" w:hAnsi="Calibri"/>
                <w:color w:val="000000"/>
                <w:spacing w:val="-3"/>
                <w:sz w:val="23"/>
              </w:rPr>
            </w:pPr>
            <w:r>
              <w:rPr>
                <w:rFonts w:ascii="Calibri" w:eastAsia="Calibri" w:hAnsi="Calibri"/>
                <w:color w:val="000000"/>
                <w:spacing w:val="-3"/>
                <w:sz w:val="23"/>
              </w:rPr>
              <w:t>The transmission or distribution system of any utility serving Washington retail customers;</w:t>
            </w:r>
          </w:p>
          <w:p w14:paraId="086737D5" w14:textId="77777777" w:rsidR="007248F0" w:rsidRDefault="007248F0" w:rsidP="007248F0">
            <w:pPr>
              <w:numPr>
                <w:ilvl w:val="0"/>
                <w:numId w:val="44"/>
              </w:numPr>
              <w:tabs>
                <w:tab w:val="left" w:pos="2520"/>
              </w:tabs>
              <w:spacing w:before="39" w:line="229" w:lineRule="exact"/>
              <w:ind w:left="2520" w:hanging="360"/>
              <w:textAlignment w:val="baseline"/>
              <w:rPr>
                <w:rFonts w:ascii="Calibri" w:eastAsia="Calibri" w:hAnsi="Calibri"/>
                <w:color w:val="000000"/>
                <w:spacing w:val="-3"/>
                <w:sz w:val="23"/>
              </w:rPr>
            </w:pPr>
            <w:r>
              <w:rPr>
                <w:rFonts w:ascii="Calibri" w:eastAsia="Calibri" w:hAnsi="Calibri"/>
                <w:color w:val="000000"/>
                <w:spacing w:val="-3"/>
                <w:sz w:val="23"/>
              </w:rPr>
              <w:t>The transmission system of the Bonneville Power Administration; or</w:t>
            </w:r>
          </w:p>
          <w:p w14:paraId="7AD59222" w14:textId="77777777" w:rsidR="007248F0" w:rsidRDefault="007248F0" w:rsidP="007248F0">
            <w:pPr>
              <w:numPr>
                <w:ilvl w:val="0"/>
                <w:numId w:val="44"/>
              </w:numPr>
              <w:tabs>
                <w:tab w:val="left" w:pos="2520"/>
              </w:tabs>
              <w:spacing w:line="268" w:lineRule="exact"/>
              <w:ind w:left="2520" w:right="216" w:hanging="360"/>
              <w:textAlignment w:val="baseline"/>
              <w:rPr>
                <w:rFonts w:ascii="Calibri" w:eastAsia="Calibri" w:hAnsi="Calibri"/>
                <w:color w:val="000000"/>
                <w:sz w:val="23"/>
              </w:rPr>
            </w:pPr>
            <w:r>
              <w:rPr>
                <w:rFonts w:ascii="Calibri" w:eastAsia="Calibri" w:hAnsi="Calibri"/>
                <w:color w:val="000000"/>
                <w:sz w:val="23"/>
              </w:rPr>
              <w:lastRenderedPageBreak/>
              <w:t>If the utility participates in an organized market in the Western Interconnection, the transmission system of any entity in that organized market; or</w:t>
            </w:r>
          </w:p>
          <w:p w14:paraId="6E54258C" w14:textId="77777777" w:rsidR="007248F0" w:rsidRPr="00816431" w:rsidRDefault="007248F0" w:rsidP="007248F0">
            <w:pPr>
              <w:numPr>
                <w:ilvl w:val="0"/>
                <w:numId w:val="44"/>
              </w:numPr>
              <w:tabs>
                <w:tab w:val="left" w:pos="2520"/>
              </w:tabs>
              <w:spacing w:before="2" w:line="269" w:lineRule="exact"/>
              <w:ind w:left="2520" w:right="72" w:hanging="360"/>
              <w:textAlignment w:val="baseline"/>
              <w:rPr>
                <w:rFonts w:ascii="Calibri" w:eastAsia="Calibri" w:hAnsi="Calibri"/>
                <w:color w:val="000000"/>
                <w:sz w:val="23"/>
              </w:rPr>
            </w:pPr>
            <w:r>
              <w:rPr>
                <w:rFonts w:ascii="Calibri" w:eastAsia="Calibri" w:hAnsi="Calibri"/>
                <w:color w:val="000000"/>
                <w:sz w:val="23"/>
              </w:rPr>
              <w:t>Another point of delivery designated by the utility for the purpose of subsequent delivery to the utility.</w:t>
            </w:r>
          </w:p>
          <w:p w14:paraId="2D316E29" w14:textId="77777777" w:rsidR="007248F0" w:rsidRDefault="007248F0" w:rsidP="007248F0">
            <w:pPr>
              <w:spacing w:line="308" w:lineRule="exact"/>
              <w:ind w:left="792" w:right="72" w:hanging="360"/>
              <w:textAlignment w:val="baseline"/>
              <w:rPr>
                <w:rFonts w:ascii="Calibri" w:eastAsia="Calibri" w:hAnsi="Calibri"/>
                <w:color w:val="000000"/>
                <w:spacing w:val="-4"/>
                <w:sz w:val="23"/>
              </w:rPr>
            </w:pPr>
            <w:r>
              <w:rPr>
                <w:rFonts w:ascii="Calibri" w:eastAsia="Calibri" w:hAnsi="Calibri"/>
                <w:color w:val="000000"/>
                <w:spacing w:val="-4"/>
                <w:sz w:val="23"/>
              </w:rPr>
              <w:t>(4)  The electricity associated with the REC must be included as a declared resource of the utility in its source and disposition report submitted in compliance with RCW 19.29A.140.</w:t>
            </w:r>
          </w:p>
          <w:p w14:paraId="66C40B40" w14:textId="5C5BEFF0" w:rsidR="007248F0" w:rsidRDefault="007248F0" w:rsidP="007248F0">
            <w:pPr>
              <w:spacing w:line="308" w:lineRule="exact"/>
              <w:ind w:left="792" w:right="72" w:hanging="360"/>
              <w:textAlignment w:val="baseline"/>
              <w:rPr>
                <w:rFonts w:ascii="Calibri" w:eastAsia="Calibri" w:hAnsi="Calibri"/>
                <w:b/>
                <w:color w:val="000000"/>
                <w:sz w:val="23"/>
              </w:rPr>
            </w:pPr>
            <w:r>
              <w:rPr>
                <w:rFonts w:ascii="Calibri" w:eastAsia="Calibri" w:hAnsi="Calibri"/>
                <w:color w:val="000000"/>
                <w:spacing w:val="-4"/>
                <w:sz w:val="23"/>
              </w:rPr>
              <w:t>(5)  A utility may not use a REC subject to this section if it has sold or otherwise transferred ownership of the associated electricity in a transaction that contractually specifies the source of the electricity by fuel source or as renewable.</w:t>
            </w:r>
          </w:p>
        </w:tc>
      </w:tr>
      <w:tr w:rsidR="00380F64" w14:paraId="6F99EDD2" w14:textId="77777777" w:rsidTr="007248F0">
        <w:trPr>
          <w:trHeight w:val="1008"/>
        </w:trPr>
        <w:tc>
          <w:tcPr>
            <w:tcW w:w="9715" w:type="dxa"/>
            <w:shd w:val="clear" w:color="auto" w:fill="auto"/>
          </w:tcPr>
          <w:p w14:paraId="7AFC7C20" w14:textId="77777777" w:rsidR="00380F64" w:rsidRDefault="00380F64" w:rsidP="00380F64">
            <w:pPr>
              <w:ind w:left="792" w:right="2016" w:hanging="720"/>
              <w:textAlignment w:val="baseline"/>
              <w:rPr>
                <w:rFonts w:ascii="Calibri" w:eastAsia="Calibri" w:hAnsi="Calibri"/>
                <w:color w:val="000000"/>
                <w:sz w:val="23"/>
              </w:rPr>
            </w:pPr>
            <w:r>
              <w:rPr>
                <w:rFonts w:ascii="Calibri" w:eastAsia="Calibri" w:hAnsi="Calibri"/>
                <w:b/>
                <w:color w:val="000000"/>
                <w:sz w:val="23"/>
              </w:rPr>
              <w:lastRenderedPageBreak/>
              <w:t xml:space="preserve">194-40-420 – Safeguards to prevent double-counting of RECs </w:t>
            </w:r>
            <w:r>
              <w:rPr>
                <w:rFonts w:ascii="Calibri" w:eastAsia="Calibri" w:hAnsi="Calibri"/>
                <w:color w:val="000000"/>
                <w:sz w:val="23"/>
              </w:rPr>
              <w:t xml:space="preserve">[Sec. 4(1)(b), 13(3)] </w:t>
            </w:r>
          </w:p>
          <w:p w14:paraId="691F44A9" w14:textId="4332DFFF" w:rsidR="00380F64" w:rsidRDefault="00380F64" w:rsidP="00380F64">
            <w:pPr>
              <w:ind w:left="72" w:right="576"/>
              <w:textAlignment w:val="baseline"/>
              <w:rPr>
                <w:rFonts w:ascii="Calibri" w:eastAsia="Calibri" w:hAnsi="Calibri"/>
                <w:b/>
                <w:color w:val="000000"/>
                <w:sz w:val="23"/>
              </w:rPr>
            </w:pPr>
            <w:r>
              <w:rPr>
                <w:rFonts w:ascii="Calibri" w:eastAsia="Calibri" w:hAnsi="Calibri"/>
                <w:color w:val="000000"/>
                <w:sz w:val="23"/>
              </w:rPr>
              <w:t>&lt;to be developed after markets workgroup concludes&gt;</w:t>
            </w:r>
          </w:p>
        </w:tc>
      </w:tr>
      <w:tr w:rsidR="00B139DE" w14:paraId="77581654" w14:textId="77777777" w:rsidTr="007248F0">
        <w:tc>
          <w:tcPr>
            <w:tcW w:w="9715" w:type="dxa"/>
            <w:shd w:val="clear" w:color="auto" w:fill="auto"/>
          </w:tcPr>
          <w:p w14:paraId="3544ABDF" w14:textId="77777777" w:rsidR="00B139DE" w:rsidRPr="006A4D20" w:rsidRDefault="00B139DE" w:rsidP="00252112">
            <w:pPr>
              <w:spacing w:line="229" w:lineRule="exact"/>
              <w:ind w:left="72"/>
              <w:textAlignment w:val="baseline"/>
              <w:rPr>
                <w:rFonts w:ascii="Calibri" w:eastAsia="Calibri" w:hAnsi="Calibri"/>
                <w:b/>
                <w:color w:val="000000"/>
                <w:spacing w:val="-4"/>
              </w:rPr>
            </w:pPr>
            <w:r w:rsidRPr="006A4D20">
              <w:rPr>
                <w:rFonts w:ascii="Calibri" w:eastAsia="Calibri" w:hAnsi="Calibri"/>
                <w:b/>
                <w:color w:val="000000"/>
                <w:spacing w:val="-4"/>
              </w:rPr>
              <w:t xml:space="preserve">194-40-430 – Thermal RECs – Applicability </w:t>
            </w:r>
            <w:r w:rsidRPr="006A4D20">
              <w:rPr>
                <w:rFonts w:ascii="Calibri" w:eastAsia="Calibri" w:hAnsi="Calibri"/>
                <w:color w:val="000000"/>
                <w:spacing w:val="-4"/>
              </w:rPr>
              <w:t>[19.405.100(8)]</w:t>
            </w:r>
          </w:p>
          <w:p w14:paraId="26826D38" w14:textId="77777777" w:rsidR="00B139DE" w:rsidRPr="006A4D20" w:rsidRDefault="00B139DE" w:rsidP="00A556A6">
            <w:pPr>
              <w:ind w:left="720" w:right="72" w:hanging="360"/>
              <w:textAlignment w:val="baseline"/>
              <w:rPr>
                <w:rFonts w:ascii="Calibri" w:eastAsia="Calibri" w:hAnsi="Calibri"/>
                <w:color w:val="000000"/>
              </w:rPr>
            </w:pPr>
            <w:r w:rsidRPr="006A4D20">
              <w:rPr>
                <w:rFonts w:ascii="Calibri" w:eastAsia="Calibri" w:hAnsi="Calibri"/>
                <w:color w:val="000000"/>
                <w:spacing w:val="-4"/>
              </w:rPr>
              <w:t xml:space="preserve">(1) </w:t>
            </w:r>
            <w:r>
              <w:rPr>
                <w:rFonts w:ascii="Calibri" w:eastAsia="Calibri" w:hAnsi="Calibri"/>
                <w:color w:val="000000"/>
                <w:spacing w:val="-4"/>
              </w:rPr>
              <w:t xml:space="preserve">A thermal </w:t>
            </w:r>
            <w:r w:rsidRPr="006A4D20">
              <w:rPr>
                <w:rFonts w:ascii="Calibri" w:eastAsia="Calibri" w:hAnsi="Calibri"/>
                <w:color w:val="000000"/>
              </w:rPr>
              <w:t xml:space="preserve">renewable energy credit may be used </w:t>
            </w:r>
            <w:r>
              <w:rPr>
                <w:rFonts w:ascii="Calibri" w:eastAsia="Calibri" w:hAnsi="Calibri"/>
                <w:color w:val="000000"/>
              </w:rPr>
              <w:t xml:space="preserve">as an unbundled REC under </w:t>
            </w:r>
            <w:r w:rsidRPr="006A4D20">
              <w:rPr>
                <w:rFonts w:ascii="Calibri" w:eastAsia="Calibri" w:hAnsi="Calibri"/>
                <w:color w:val="000000"/>
              </w:rPr>
              <w:t>RCW 19.405.040(1</w:t>
            </w:r>
            <w:proofErr w:type="gramStart"/>
            <w:r w:rsidRPr="006A4D20">
              <w:rPr>
                <w:rFonts w:ascii="Calibri" w:eastAsia="Calibri" w:hAnsi="Calibri"/>
                <w:color w:val="000000"/>
              </w:rPr>
              <w:t>)(</w:t>
            </w:r>
            <w:proofErr w:type="gramEnd"/>
            <w:r w:rsidRPr="006A4D20">
              <w:rPr>
                <w:rFonts w:ascii="Calibri" w:eastAsia="Calibri" w:hAnsi="Calibri"/>
                <w:color w:val="000000"/>
              </w:rPr>
              <w:t xml:space="preserve">b) if </w:t>
            </w:r>
            <w:r>
              <w:rPr>
                <w:rFonts w:ascii="Calibri" w:eastAsia="Calibri" w:hAnsi="Calibri"/>
                <w:color w:val="000000"/>
              </w:rPr>
              <w:t xml:space="preserve">it is </w:t>
            </w:r>
            <w:r w:rsidRPr="006A4D20">
              <w:rPr>
                <w:rFonts w:ascii="Calibri" w:eastAsia="Calibri" w:hAnsi="Calibri"/>
                <w:color w:val="000000"/>
              </w:rPr>
              <w:t>created in association with the generation of qualifying thermal energy for a secondary purpose at a facility that generates electricity from biomass energy. For multiple-fuel facilities, only the portion of thermal energy generated from eligible biomass sources is eligible for the generation of</w:t>
            </w:r>
            <w:r>
              <w:rPr>
                <w:rFonts w:ascii="Calibri" w:eastAsia="Calibri" w:hAnsi="Calibri"/>
                <w:color w:val="000000"/>
              </w:rPr>
              <w:t xml:space="preserve"> a</w:t>
            </w:r>
            <w:r w:rsidRPr="006A4D20">
              <w:rPr>
                <w:rFonts w:ascii="Calibri" w:eastAsia="Calibri" w:hAnsi="Calibri"/>
                <w:color w:val="000000"/>
              </w:rPr>
              <w:t xml:space="preserve"> thermal </w:t>
            </w:r>
            <w:r>
              <w:rPr>
                <w:rFonts w:ascii="Calibri" w:eastAsia="Calibri" w:hAnsi="Calibri"/>
                <w:color w:val="000000"/>
              </w:rPr>
              <w:t>REC</w:t>
            </w:r>
            <w:r w:rsidRPr="006A4D20">
              <w:rPr>
                <w:rFonts w:ascii="Calibri" w:eastAsia="Calibri" w:hAnsi="Calibri"/>
                <w:color w:val="000000"/>
              </w:rPr>
              <w:t>.</w:t>
            </w:r>
          </w:p>
          <w:p w14:paraId="74A4C3B3" w14:textId="77777777" w:rsidR="00B139DE" w:rsidRDefault="00B139DE" w:rsidP="00A556A6">
            <w:pPr>
              <w:ind w:left="720" w:right="72" w:hanging="360"/>
              <w:textAlignment w:val="baseline"/>
              <w:rPr>
                <w:rFonts w:ascii="Calibri" w:eastAsia="Calibri" w:hAnsi="Calibri"/>
                <w:color w:val="000000"/>
                <w:spacing w:val="1"/>
              </w:rPr>
            </w:pPr>
            <w:r w:rsidRPr="006A4D20">
              <w:rPr>
                <w:rFonts w:ascii="Calibri" w:eastAsia="Calibri" w:hAnsi="Calibri"/>
                <w:color w:val="000000"/>
                <w:spacing w:val="1"/>
              </w:rPr>
              <w:t xml:space="preserve">(2) Thermal energy may not be used to create </w:t>
            </w:r>
            <w:r>
              <w:rPr>
                <w:rFonts w:ascii="Calibri" w:eastAsia="Calibri" w:hAnsi="Calibri"/>
                <w:color w:val="000000"/>
                <w:spacing w:val="1"/>
              </w:rPr>
              <w:t xml:space="preserve">a </w:t>
            </w:r>
            <w:r w:rsidRPr="006A4D20">
              <w:rPr>
                <w:rFonts w:ascii="Calibri" w:eastAsia="Calibri" w:hAnsi="Calibri"/>
                <w:color w:val="000000"/>
                <w:spacing w:val="1"/>
              </w:rPr>
              <w:t xml:space="preserve">thermal REC if the thermal energy: </w:t>
            </w:r>
          </w:p>
          <w:p w14:paraId="6FF4995E" w14:textId="77777777" w:rsidR="00B139DE" w:rsidRPr="009B25B7" w:rsidRDefault="00B139DE" w:rsidP="00A556A6">
            <w:pPr>
              <w:ind w:left="720" w:right="72"/>
              <w:textAlignment w:val="baseline"/>
              <w:rPr>
                <w:rFonts w:ascii="Calibri" w:eastAsia="Calibri" w:hAnsi="Calibri"/>
                <w:color w:val="000000"/>
                <w:spacing w:val="1"/>
              </w:rPr>
            </w:pPr>
            <w:r>
              <w:rPr>
                <w:rFonts w:ascii="Calibri" w:eastAsia="Calibri" w:hAnsi="Calibri"/>
                <w:color w:val="000000"/>
                <w:spacing w:val="1"/>
              </w:rPr>
              <w:t xml:space="preserve">(a) </w:t>
            </w:r>
            <w:r w:rsidRPr="009B25B7">
              <w:rPr>
                <w:rFonts w:ascii="Calibri" w:eastAsia="Calibri" w:hAnsi="Calibri"/>
                <w:color w:val="000000"/>
                <w:spacing w:val="-4"/>
              </w:rPr>
              <w:t>is used to operate the generating facility or process the facility’s fuel;</w:t>
            </w:r>
          </w:p>
          <w:p w14:paraId="15ACA85B" w14:textId="77777777" w:rsidR="00B139DE" w:rsidRPr="009B25B7" w:rsidRDefault="00B139DE" w:rsidP="00A556A6">
            <w:pPr>
              <w:pStyle w:val="ListParagraph"/>
              <w:numPr>
                <w:ilvl w:val="0"/>
                <w:numId w:val="41"/>
              </w:numPr>
              <w:tabs>
                <w:tab w:val="left" w:pos="720"/>
              </w:tabs>
              <w:spacing w:before="1"/>
              <w:ind w:right="432"/>
              <w:textAlignment w:val="baseline"/>
              <w:rPr>
                <w:rFonts w:ascii="Calibri" w:eastAsia="Calibri" w:hAnsi="Calibri"/>
                <w:color w:val="000000"/>
                <w:spacing w:val="-4"/>
              </w:rPr>
            </w:pPr>
            <w:r w:rsidRPr="009B25B7">
              <w:rPr>
                <w:rFonts w:ascii="Calibri" w:eastAsia="Calibri" w:hAnsi="Calibri"/>
                <w:color w:val="000000"/>
                <w:spacing w:val="-4"/>
              </w:rPr>
              <w:t xml:space="preserve">is returned to the biomass conversion device that initially created the eligible thermal resource; </w:t>
            </w:r>
          </w:p>
          <w:p w14:paraId="1BC3729E" w14:textId="77777777" w:rsidR="00B139DE" w:rsidRPr="009B25B7" w:rsidRDefault="00B139DE" w:rsidP="00A556A6">
            <w:pPr>
              <w:pStyle w:val="ListParagraph"/>
              <w:numPr>
                <w:ilvl w:val="0"/>
                <w:numId w:val="41"/>
              </w:numPr>
              <w:tabs>
                <w:tab w:val="left" w:pos="720"/>
              </w:tabs>
              <w:spacing w:before="1"/>
              <w:ind w:right="432"/>
              <w:textAlignment w:val="baseline"/>
              <w:rPr>
                <w:rFonts w:ascii="Calibri" w:eastAsia="Calibri" w:hAnsi="Calibri"/>
                <w:color w:val="000000"/>
                <w:spacing w:val="-4"/>
              </w:rPr>
            </w:pPr>
            <w:r w:rsidRPr="009B25B7">
              <w:rPr>
                <w:rFonts w:ascii="Calibri" w:eastAsia="Calibri" w:hAnsi="Calibri"/>
                <w:color w:val="000000"/>
                <w:spacing w:val="-4"/>
              </w:rPr>
              <w:t xml:space="preserve">bypasses the electricity generation device; or </w:t>
            </w:r>
          </w:p>
          <w:p w14:paraId="3410DCC8" w14:textId="77777777" w:rsidR="00B139DE" w:rsidRDefault="00B139DE" w:rsidP="00A556A6">
            <w:pPr>
              <w:pStyle w:val="ListParagraph"/>
              <w:numPr>
                <w:ilvl w:val="0"/>
                <w:numId w:val="41"/>
              </w:numPr>
              <w:tabs>
                <w:tab w:val="left" w:pos="720"/>
              </w:tabs>
              <w:spacing w:before="1"/>
              <w:ind w:right="432"/>
              <w:textAlignment w:val="baseline"/>
              <w:rPr>
                <w:rFonts w:ascii="Calibri" w:eastAsia="Calibri" w:hAnsi="Calibri"/>
                <w:color w:val="000000"/>
                <w:spacing w:val="1"/>
              </w:rPr>
            </w:pPr>
            <w:proofErr w:type="gramStart"/>
            <w:r w:rsidRPr="009B25B7">
              <w:rPr>
                <w:rFonts w:ascii="Calibri" w:eastAsia="Calibri" w:hAnsi="Calibri"/>
                <w:color w:val="000000"/>
                <w:spacing w:val="-4"/>
              </w:rPr>
              <w:t>is</w:t>
            </w:r>
            <w:proofErr w:type="gramEnd"/>
            <w:r w:rsidRPr="009B25B7">
              <w:rPr>
                <w:rFonts w:ascii="Calibri" w:eastAsia="Calibri" w:hAnsi="Calibri"/>
                <w:color w:val="000000"/>
                <w:spacing w:val="-4"/>
              </w:rPr>
              <w:t xml:space="preserve"> produced</w:t>
            </w:r>
            <w:r w:rsidRPr="009B25B7">
              <w:rPr>
                <w:rFonts w:ascii="Calibri" w:eastAsia="Calibri" w:hAnsi="Calibri"/>
                <w:color w:val="000000"/>
                <w:spacing w:val="1"/>
              </w:rPr>
              <w:t xml:space="preserve"> while the electricity generation equipment is out of service.</w:t>
            </w:r>
          </w:p>
          <w:p w14:paraId="05F2C624" w14:textId="77777777" w:rsidR="00B139DE" w:rsidRPr="00966361" w:rsidRDefault="00B139DE" w:rsidP="00966361">
            <w:pPr>
              <w:tabs>
                <w:tab w:val="left" w:pos="720"/>
              </w:tabs>
              <w:spacing w:before="1" w:line="293" w:lineRule="exact"/>
              <w:ind w:right="432"/>
              <w:textAlignment w:val="baseline"/>
              <w:rPr>
                <w:rFonts w:ascii="Calibri" w:eastAsia="Calibri" w:hAnsi="Calibri"/>
                <w:color w:val="000000"/>
                <w:spacing w:val="1"/>
              </w:rPr>
            </w:pPr>
          </w:p>
          <w:p w14:paraId="4DA8129E" w14:textId="77777777" w:rsidR="00B139DE" w:rsidRPr="006A4D20" w:rsidRDefault="00B139DE" w:rsidP="00966361">
            <w:pPr>
              <w:spacing w:line="229" w:lineRule="exact"/>
              <w:textAlignment w:val="baseline"/>
              <w:rPr>
                <w:rFonts w:ascii="Calibri" w:eastAsia="Calibri" w:hAnsi="Calibri"/>
                <w:b/>
                <w:color w:val="000000"/>
                <w:spacing w:val="-4"/>
              </w:rPr>
            </w:pPr>
            <w:r w:rsidRPr="006A4D20">
              <w:rPr>
                <w:rFonts w:ascii="Calibri" w:eastAsia="Calibri" w:hAnsi="Calibri"/>
                <w:b/>
                <w:color w:val="000000"/>
                <w:spacing w:val="-4"/>
              </w:rPr>
              <w:t>194-40-440 – Thermal RECs - Measuring</w:t>
            </w:r>
          </w:p>
          <w:p w14:paraId="43DF1270" w14:textId="77777777" w:rsidR="00B139DE" w:rsidRDefault="00B139DE" w:rsidP="00966361">
            <w:pPr>
              <w:spacing w:line="226" w:lineRule="exact"/>
              <w:textAlignment w:val="baseline"/>
              <w:rPr>
                <w:rFonts w:ascii="Calibri" w:eastAsia="Calibri" w:hAnsi="Calibri"/>
                <w:color w:val="000000"/>
                <w:spacing w:val="-3"/>
              </w:rPr>
            </w:pPr>
          </w:p>
          <w:p w14:paraId="5FD320C3" w14:textId="77777777" w:rsidR="00B139DE" w:rsidRPr="00FB05B5" w:rsidRDefault="00B139DE" w:rsidP="00966361">
            <w:pPr>
              <w:pStyle w:val="ListParagraph"/>
              <w:numPr>
                <w:ilvl w:val="0"/>
                <w:numId w:val="37"/>
              </w:numPr>
              <w:spacing w:line="226" w:lineRule="exact"/>
              <w:textAlignment w:val="baseline"/>
              <w:rPr>
                <w:rFonts w:ascii="Calibri" w:eastAsia="Calibri" w:hAnsi="Calibri"/>
                <w:color w:val="000000"/>
                <w:spacing w:val="-3"/>
              </w:rPr>
            </w:pPr>
            <w:r w:rsidRPr="00FB05B5">
              <w:rPr>
                <w:rFonts w:ascii="Calibri" w:eastAsia="Calibri" w:hAnsi="Calibri"/>
                <w:color w:val="000000"/>
                <w:spacing w:val="-3"/>
              </w:rPr>
              <w:t>Qualifying thermal energy must be measured and tracked using the following methods:</w:t>
            </w:r>
          </w:p>
          <w:p w14:paraId="419CBD05" w14:textId="77777777" w:rsidR="00B139DE" w:rsidRPr="006A4D20" w:rsidRDefault="00B139DE" w:rsidP="00252112">
            <w:pPr>
              <w:numPr>
                <w:ilvl w:val="0"/>
                <w:numId w:val="40"/>
              </w:numPr>
              <w:spacing w:before="186" w:line="293" w:lineRule="exact"/>
              <w:ind w:left="720" w:hanging="360"/>
              <w:textAlignment w:val="baseline"/>
              <w:rPr>
                <w:rFonts w:ascii="Calibri" w:eastAsia="Calibri" w:hAnsi="Calibri"/>
                <w:color w:val="000000"/>
              </w:rPr>
            </w:pPr>
            <w:r w:rsidRPr="00FB05B5">
              <w:rPr>
                <w:rFonts w:ascii="Calibri" w:eastAsia="Calibri" w:hAnsi="Calibri"/>
                <w:b/>
                <w:color w:val="000000"/>
              </w:rPr>
              <w:t>Large facilities:</w:t>
            </w:r>
            <w:r w:rsidRPr="006A4D20">
              <w:rPr>
                <w:rFonts w:ascii="Calibri" w:eastAsia="Calibri" w:hAnsi="Calibri"/>
                <w:color w:val="000000"/>
              </w:rPr>
              <w:t xml:space="preserve"> Facilities with the capacity to ge</w:t>
            </w:r>
            <w:r>
              <w:rPr>
                <w:rFonts w:ascii="Calibri" w:eastAsia="Calibri" w:hAnsi="Calibri"/>
                <w:color w:val="000000"/>
              </w:rPr>
              <w:t xml:space="preserve">nerate one or more thermal </w:t>
            </w:r>
            <w:r w:rsidRPr="006A4D20">
              <w:rPr>
                <w:rFonts w:ascii="Calibri" w:eastAsia="Calibri" w:hAnsi="Calibri"/>
                <w:color w:val="000000"/>
              </w:rPr>
              <w:t>RECs per hour of operation must install a thermal energy measurement system to continually measure qualifying thermal energy. The thermal energy delivered to the secondary purpose must be metered. All parameters needed to determine thermal energy delivered to the secondary purpose must be directly measured.</w:t>
            </w:r>
          </w:p>
          <w:p w14:paraId="350C3D09" w14:textId="77777777" w:rsidR="00B139DE" w:rsidRPr="00FB05B5" w:rsidRDefault="00B139DE" w:rsidP="00252112">
            <w:pPr>
              <w:numPr>
                <w:ilvl w:val="0"/>
                <w:numId w:val="40"/>
              </w:numPr>
              <w:spacing w:line="293" w:lineRule="exact"/>
              <w:ind w:left="720" w:right="72" w:hanging="360"/>
              <w:textAlignment w:val="baseline"/>
              <w:rPr>
                <w:rFonts w:ascii="Calibri" w:eastAsia="Calibri" w:hAnsi="Calibri"/>
                <w:color w:val="000000"/>
                <w:spacing w:val="-3"/>
              </w:rPr>
            </w:pPr>
            <w:r w:rsidRPr="00FB05B5">
              <w:rPr>
                <w:rFonts w:ascii="Calibri" w:eastAsia="Calibri" w:hAnsi="Calibri"/>
                <w:b/>
                <w:color w:val="000000"/>
                <w:spacing w:val="-3"/>
              </w:rPr>
              <w:t>Small facilities:</w:t>
            </w:r>
            <w:r w:rsidRPr="006A4D20">
              <w:rPr>
                <w:rFonts w:ascii="Calibri" w:eastAsia="Calibri" w:hAnsi="Calibri"/>
                <w:color w:val="000000"/>
                <w:spacing w:val="-3"/>
              </w:rPr>
              <w:t xml:space="preserve"> Facilities with the capac</w:t>
            </w:r>
            <w:r>
              <w:rPr>
                <w:rFonts w:ascii="Calibri" w:eastAsia="Calibri" w:hAnsi="Calibri"/>
                <w:color w:val="000000"/>
                <w:spacing w:val="-3"/>
              </w:rPr>
              <w:t xml:space="preserve">ity to generate less than one thermal </w:t>
            </w:r>
            <w:r w:rsidRPr="006A4D20">
              <w:rPr>
                <w:rFonts w:ascii="Calibri" w:eastAsia="Calibri" w:hAnsi="Calibri"/>
                <w:color w:val="000000"/>
                <w:spacing w:val="-3"/>
              </w:rPr>
              <w:t xml:space="preserve">REC per hour of operation must install a thermal energy measurement system to measure qualifying thermal energy delivered to the secondary purpose. </w:t>
            </w:r>
            <w:r w:rsidRPr="00FB05B5">
              <w:rPr>
                <w:rFonts w:ascii="Calibri" w:eastAsia="Calibri" w:hAnsi="Calibri"/>
                <w:color w:val="000000"/>
                <w:spacing w:val="-3"/>
              </w:rPr>
              <w:t>Calculation parameters, such as heat capacity, and directly measured parameters, such as temperature and pressure, that do not vary more than two percent for the full range of expected operating conditions may be evaluated on an annual basis and used in the calculation methodology as a constant. These parameters may be based on such sources as manufacturers’ published ratings or one-time measurements, but must be clearly defined and explained in the thermal energy measurement p</w:t>
            </w:r>
            <w:r>
              <w:rPr>
                <w:rFonts w:ascii="Calibri" w:eastAsia="Calibri" w:hAnsi="Calibri"/>
                <w:color w:val="000000"/>
                <w:spacing w:val="-3"/>
              </w:rPr>
              <w:t>lan required under subsection (2</w:t>
            </w:r>
            <w:r w:rsidRPr="00FB05B5">
              <w:rPr>
                <w:rFonts w:ascii="Calibri" w:eastAsia="Calibri" w:hAnsi="Calibri"/>
                <w:color w:val="000000"/>
                <w:spacing w:val="-3"/>
              </w:rPr>
              <w:t xml:space="preserve">). All other parameters used to determine the amount of qualifying thermal energy must be continually measured. The generating facility must assess the significance of any potential error that the methodology parameters have on the total annual quantity of qualifying thermal energy and include </w:t>
            </w:r>
            <w:r w:rsidRPr="00FB05B5">
              <w:rPr>
                <w:rFonts w:ascii="Calibri" w:eastAsia="Calibri" w:hAnsi="Calibri"/>
                <w:color w:val="000000"/>
                <w:spacing w:val="-3"/>
              </w:rPr>
              <w:lastRenderedPageBreak/>
              <w:t>this analysis in the thermal energy measurement plan. The generating facility must also submit to the department for approval in the thermal energy measurement plan an appropriate discount factor to be applied to the qualifying thermal energy calculation methodology, and the department may revise this discount factor to account for variance due to parameters that are not continually measured.</w:t>
            </w:r>
          </w:p>
          <w:p w14:paraId="318E6267" w14:textId="77777777" w:rsidR="00B139DE" w:rsidRPr="006A4D20" w:rsidRDefault="00B139DE" w:rsidP="00252112">
            <w:pPr>
              <w:numPr>
                <w:ilvl w:val="0"/>
                <w:numId w:val="40"/>
              </w:numPr>
              <w:spacing w:before="1" w:line="293" w:lineRule="exact"/>
              <w:ind w:left="720" w:right="432" w:hanging="360"/>
              <w:textAlignment w:val="baseline"/>
              <w:rPr>
                <w:rFonts w:ascii="Calibri" w:eastAsia="Calibri" w:hAnsi="Calibri"/>
                <w:color w:val="000000"/>
                <w:spacing w:val="-4"/>
              </w:rPr>
            </w:pPr>
            <w:r>
              <w:rPr>
                <w:rFonts w:ascii="Calibri" w:eastAsia="Calibri" w:hAnsi="Calibri"/>
                <w:color w:val="000000"/>
                <w:spacing w:val="-4"/>
              </w:rPr>
              <w:t>Any</w:t>
            </w:r>
            <w:r w:rsidRPr="006A4D20">
              <w:rPr>
                <w:rFonts w:ascii="Calibri" w:eastAsia="Calibri" w:hAnsi="Calibri"/>
                <w:color w:val="000000"/>
                <w:spacing w:val="-4"/>
              </w:rPr>
              <w:t xml:space="preserve"> thermal energy measurement system </w:t>
            </w:r>
            <w:r>
              <w:rPr>
                <w:rFonts w:ascii="Calibri" w:eastAsia="Calibri" w:hAnsi="Calibri"/>
                <w:color w:val="000000"/>
                <w:spacing w:val="-4"/>
              </w:rPr>
              <w:t xml:space="preserve">used to comply with this rule </w:t>
            </w:r>
            <w:r w:rsidRPr="006A4D20">
              <w:rPr>
                <w:rFonts w:ascii="Calibri" w:eastAsia="Calibri" w:hAnsi="Calibri"/>
                <w:color w:val="000000"/>
                <w:spacing w:val="-4"/>
              </w:rPr>
              <w:t>must capture sufficient data, and make necessary calculations or provide all necessary data for calculations to be made using standard engineering calculation procedures, to determine the net thermal energy used by the secondary purpose over an interval specified in the thermal energy measurement plan.</w:t>
            </w:r>
          </w:p>
          <w:p w14:paraId="3E61E4FB" w14:textId="77777777" w:rsidR="00B139DE" w:rsidRPr="006A4D20" w:rsidRDefault="00B139DE" w:rsidP="00252112">
            <w:pPr>
              <w:numPr>
                <w:ilvl w:val="0"/>
                <w:numId w:val="40"/>
              </w:numPr>
              <w:spacing w:line="292" w:lineRule="exact"/>
              <w:ind w:left="720" w:right="432" w:hanging="360"/>
              <w:textAlignment w:val="baseline"/>
              <w:rPr>
                <w:rFonts w:ascii="Calibri" w:eastAsia="Calibri" w:hAnsi="Calibri"/>
                <w:color w:val="000000"/>
              </w:rPr>
            </w:pPr>
            <w:r>
              <w:rPr>
                <w:rFonts w:ascii="Calibri" w:eastAsia="Calibri" w:hAnsi="Calibri"/>
                <w:color w:val="000000"/>
              </w:rPr>
              <w:t>The components of a thermal energy m</w:t>
            </w:r>
            <w:r w:rsidRPr="006A4D20">
              <w:rPr>
                <w:rFonts w:ascii="Calibri" w:eastAsia="Calibri" w:hAnsi="Calibri"/>
                <w:color w:val="000000"/>
              </w:rPr>
              <w:t>easurement system must be installed in accordance with the manufacturer’s specifications.</w:t>
            </w:r>
          </w:p>
          <w:p w14:paraId="4C9A49AC" w14:textId="77777777" w:rsidR="00B139DE" w:rsidRDefault="00B139DE" w:rsidP="00252112">
            <w:pPr>
              <w:pStyle w:val="ListParagraph"/>
              <w:numPr>
                <w:ilvl w:val="0"/>
                <w:numId w:val="37"/>
              </w:numPr>
              <w:tabs>
                <w:tab w:val="left" w:pos="720"/>
              </w:tabs>
              <w:spacing w:before="14" w:line="293" w:lineRule="exact"/>
              <w:ind w:right="1008"/>
              <w:textAlignment w:val="baseline"/>
              <w:rPr>
                <w:rFonts w:ascii="Calibri" w:eastAsia="Calibri" w:hAnsi="Calibri"/>
                <w:color w:val="000000"/>
                <w:spacing w:val="-5"/>
              </w:rPr>
            </w:pPr>
            <w:r w:rsidRPr="00FB05B5">
              <w:rPr>
                <w:rFonts w:ascii="Calibri" w:eastAsia="Calibri" w:hAnsi="Calibri"/>
                <w:color w:val="000000"/>
                <w:spacing w:val="-5"/>
              </w:rPr>
              <w:t xml:space="preserve">The </w:t>
            </w:r>
            <w:r>
              <w:rPr>
                <w:rFonts w:ascii="Calibri" w:eastAsia="Calibri" w:hAnsi="Calibri"/>
                <w:color w:val="000000"/>
                <w:spacing w:val="-5"/>
              </w:rPr>
              <w:t xml:space="preserve">operator of a thermal energy </w:t>
            </w:r>
            <w:r w:rsidRPr="00FB05B5">
              <w:rPr>
                <w:rFonts w:ascii="Calibri" w:eastAsia="Calibri" w:hAnsi="Calibri"/>
                <w:color w:val="000000"/>
                <w:spacing w:val="-5"/>
              </w:rPr>
              <w:t xml:space="preserve">generating facility must submit to the department </w:t>
            </w:r>
            <w:r>
              <w:rPr>
                <w:rFonts w:ascii="Calibri" w:eastAsia="Calibri" w:hAnsi="Calibri"/>
                <w:color w:val="000000"/>
                <w:spacing w:val="-5"/>
              </w:rPr>
              <w:t xml:space="preserve">for its approval </w:t>
            </w:r>
            <w:r w:rsidRPr="00FB05B5">
              <w:rPr>
                <w:rFonts w:ascii="Calibri" w:eastAsia="Calibri" w:hAnsi="Calibri"/>
                <w:color w:val="000000"/>
                <w:spacing w:val="-5"/>
              </w:rPr>
              <w:t>a thermal energy measurement plan that</w:t>
            </w:r>
            <w:r>
              <w:rPr>
                <w:rFonts w:ascii="Calibri" w:eastAsia="Calibri" w:hAnsi="Calibri"/>
                <w:color w:val="000000"/>
                <w:spacing w:val="-5"/>
              </w:rPr>
              <w:t>:</w:t>
            </w:r>
          </w:p>
          <w:p w14:paraId="5609392E" w14:textId="77777777" w:rsidR="00B139DE" w:rsidRDefault="00B139DE" w:rsidP="00252112">
            <w:pPr>
              <w:pStyle w:val="ListParagraph"/>
              <w:numPr>
                <w:ilvl w:val="0"/>
                <w:numId w:val="38"/>
              </w:numPr>
              <w:tabs>
                <w:tab w:val="left" w:pos="720"/>
              </w:tabs>
              <w:spacing w:before="1" w:line="293" w:lineRule="exact"/>
              <w:ind w:right="432"/>
              <w:textAlignment w:val="baseline"/>
              <w:rPr>
                <w:rFonts w:ascii="Calibri" w:eastAsia="Calibri" w:hAnsi="Calibri"/>
                <w:color w:val="000000"/>
                <w:spacing w:val="-4"/>
              </w:rPr>
            </w:pPr>
            <w:r w:rsidRPr="00FB05B5">
              <w:rPr>
                <w:rFonts w:ascii="Calibri" w:eastAsia="Calibri" w:hAnsi="Calibri"/>
                <w:color w:val="000000"/>
                <w:spacing w:val="-4"/>
              </w:rPr>
              <w:t xml:space="preserve">Describes the thermal energy generating equipment, secondary purposes, data measurements to be collected, all associated measurement devices, data formats and storage, data gathering techniques, measurement system calibration, calculation methodology, discount factors, and other relevant equipment and activities that will be used to determine the quantity of qualifying thermal energy. </w:t>
            </w:r>
          </w:p>
          <w:p w14:paraId="3AE3708E" w14:textId="77777777" w:rsidR="00B139DE" w:rsidRPr="009B25B7" w:rsidRDefault="00B139DE" w:rsidP="00252112">
            <w:pPr>
              <w:pStyle w:val="ListParagraph"/>
              <w:numPr>
                <w:ilvl w:val="0"/>
                <w:numId w:val="38"/>
              </w:numPr>
              <w:tabs>
                <w:tab w:val="left" w:pos="720"/>
              </w:tabs>
              <w:spacing w:before="1" w:line="293" w:lineRule="exact"/>
              <w:ind w:right="432"/>
              <w:textAlignment w:val="baseline"/>
              <w:rPr>
                <w:rFonts w:ascii="Calibri" w:eastAsia="Calibri" w:hAnsi="Calibri"/>
                <w:color w:val="000000"/>
                <w:spacing w:val="-4"/>
              </w:rPr>
            </w:pPr>
            <w:r w:rsidRPr="00FB05B5">
              <w:rPr>
                <w:rFonts w:ascii="Calibri" w:eastAsia="Calibri" w:hAnsi="Calibri"/>
                <w:color w:val="000000"/>
                <w:spacing w:val="-4"/>
              </w:rPr>
              <w:t>Includes documentation, including drawings, specifications, piping and instrumentation</w:t>
            </w:r>
            <w:r w:rsidRPr="00FB05B5">
              <w:rPr>
                <w:rFonts w:ascii="Calibri" w:eastAsia="Calibri" w:hAnsi="Calibri"/>
                <w:color w:val="000000"/>
                <w:spacing w:val="-5"/>
              </w:rPr>
              <w:t xml:space="preserve"> diagrams, and other information, sufficient to verify the compliance of the system with the requirements of this rule.</w:t>
            </w:r>
          </w:p>
          <w:p w14:paraId="4261BF11" w14:textId="77777777" w:rsidR="00B139DE" w:rsidRPr="00FB05B5" w:rsidRDefault="00B139DE" w:rsidP="00252112">
            <w:pPr>
              <w:pStyle w:val="ListParagraph"/>
              <w:numPr>
                <w:ilvl w:val="0"/>
                <w:numId w:val="38"/>
              </w:numPr>
              <w:tabs>
                <w:tab w:val="left" w:pos="720"/>
              </w:tabs>
              <w:spacing w:before="1" w:line="293" w:lineRule="exact"/>
              <w:ind w:right="432"/>
              <w:textAlignment w:val="baseline"/>
              <w:rPr>
                <w:rFonts w:ascii="Calibri" w:eastAsia="Calibri" w:hAnsi="Calibri"/>
                <w:color w:val="000000"/>
                <w:spacing w:val="-4"/>
              </w:rPr>
            </w:pPr>
            <w:r>
              <w:rPr>
                <w:rFonts w:ascii="Calibri" w:eastAsia="Calibri" w:hAnsi="Calibri"/>
                <w:color w:val="000000"/>
                <w:spacing w:val="-5"/>
              </w:rPr>
              <w:t>Is prepared by or under the supervision of a licensed professional engineer, as indicated by the engineer’s stamp.</w:t>
            </w:r>
          </w:p>
          <w:p w14:paraId="3AEBD3F4" w14:textId="77777777" w:rsidR="00B139DE" w:rsidRPr="006A4D20" w:rsidRDefault="00B139DE" w:rsidP="00252112">
            <w:pPr>
              <w:pStyle w:val="ListParagraph"/>
              <w:numPr>
                <w:ilvl w:val="0"/>
                <w:numId w:val="37"/>
              </w:numPr>
              <w:tabs>
                <w:tab w:val="left" w:pos="720"/>
              </w:tabs>
              <w:spacing w:before="14" w:line="293" w:lineRule="exact"/>
              <w:ind w:right="1008"/>
              <w:textAlignment w:val="baseline"/>
              <w:rPr>
                <w:rFonts w:ascii="Calibri" w:eastAsia="Calibri" w:hAnsi="Calibri"/>
                <w:color w:val="000000"/>
              </w:rPr>
            </w:pPr>
            <w:r w:rsidRPr="006A4D20">
              <w:rPr>
                <w:rFonts w:ascii="Calibri" w:eastAsia="Calibri" w:hAnsi="Calibri"/>
                <w:color w:val="000000"/>
              </w:rPr>
              <w:t xml:space="preserve">The </w:t>
            </w:r>
            <w:r>
              <w:rPr>
                <w:rFonts w:ascii="Calibri" w:eastAsia="Calibri" w:hAnsi="Calibri"/>
                <w:color w:val="000000"/>
              </w:rPr>
              <w:t xml:space="preserve">operator of a thermal energy </w:t>
            </w:r>
            <w:r w:rsidRPr="006A4D20">
              <w:rPr>
                <w:rFonts w:ascii="Calibri" w:eastAsia="Calibri" w:hAnsi="Calibri"/>
                <w:color w:val="000000"/>
              </w:rPr>
              <w:t>generating facility must submit an updated thermal energy measurement plan and documentation for review and approval to the department upon the following:</w:t>
            </w:r>
          </w:p>
          <w:p w14:paraId="042F1D3F" w14:textId="77777777" w:rsidR="00B139DE" w:rsidRPr="009B25B7" w:rsidRDefault="00B139DE" w:rsidP="00252112">
            <w:pPr>
              <w:pStyle w:val="ListParagraph"/>
              <w:numPr>
                <w:ilvl w:val="1"/>
                <w:numId w:val="37"/>
              </w:numPr>
              <w:tabs>
                <w:tab w:val="left" w:pos="720"/>
              </w:tabs>
              <w:spacing w:before="14" w:line="293" w:lineRule="exact"/>
              <w:ind w:right="1008"/>
              <w:textAlignment w:val="baseline"/>
              <w:rPr>
                <w:rFonts w:ascii="Calibri" w:eastAsia="Calibri" w:hAnsi="Calibri"/>
                <w:color w:val="000000"/>
                <w:spacing w:val="-5"/>
              </w:rPr>
            </w:pPr>
            <w:r w:rsidRPr="009B25B7">
              <w:rPr>
                <w:rFonts w:ascii="Calibri" w:eastAsia="Calibri" w:hAnsi="Calibri"/>
                <w:color w:val="000000"/>
                <w:spacing w:val="-5"/>
              </w:rPr>
              <w:t>Installation, removal or changes in the configuration of the thermal energy measurement system and its components;</w:t>
            </w:r>
          </w:p>
          <w:p w14:paraId="1E81B90E" w14:textId="77777777" w:rsidR="00B139DE" w:rsidRPr="00FB05B5" w:rsidRDefault="00B139DE" w:rsidP="00252112">
            <w:pPr>
              <w:pStyle w:val="ListParagraph"/>
              <w:numPr>
                <w:ilvl w:val="1"/>
                <w:numId w:val="37"/>
              </w:numPr>
              <w:tabs>
                <w:tab w:val="left" w:pos="720"/>
              </w:tabs>
              <w:spacing w:before="14" w:line="293" w:lineRule="exact"/>
              <w:ind w:right="1008"/>
              <w:textAlignment w:val="baseline"/>
              <w:rPr>
                <w:rFonts w:ascii="Calibri" w:eastAsia="Calibri" w:hAnsi="Calibri"/>
                <w:color w:val="000000"/>
                <w:spacing w:val="-5"/>
              </w:rPr>
            </w:pPr>
            <w:r w:rsidRPr="00FB05B5">
              <w:rPr>
                <w:rFonts w:ascii="Calibri" w:eastAsia="Calibri" w:hAnsi="Calibri"/>
                <w:color w:val="000000"/>
                <w:spacing w:val="-5"/>
              </w:rPr>
              <w:t>Installation of new thermal energy generation equipment or changes in thermal energy generation capacity;</w:t>
            </w:r>
          </w:p>
          <w:p w14:paraId="71A50648" w14:textId="77777777" w:rsidR="00B139DE" w:rsidRPr="00FB05B5" w:rsidRDefault="00B139DE" w:rsidP="00252112">
            <w:pPr>
              <w:pStyle w:val="ListParagraph"/>
              <w:numPr>
                <w:ilvl w:val="1"/>
                <w:numId w:val="37"/>
              </w:numPr>
              <w:tabs>
                <w:tab w:val="left" w:pos="720"/>
              </w:tabs>
              <w:spacing w:before="14" w:line="293" w:lineRule="exact"/>
              <w:ind w:right="1008"/>
              <w:textAlignment w:val="baseline"/>
              <w:rPr>
                <w:rFonts w:ascii="Calibri" w:eastAsia="Calibri" w:hAnsi="Calibri"/>
                <w:color w:val="000000"/>
                <w:spacing w:val="-5"/>
              </w:rPr>
            </w:pPr>
            <w:r w:rsidRPr="00FB05B5">
              <w:rPr>
                <w:rFonts w:ascii="Calibri" w:eastAsia="Calibri" w:hAnsi="Calibri"/>
                <w:color w:val="000000"/>
                <w:spacing w:val="-5"/>
              </w:rPr>
              <w:t>Installation or removal of secondary purpose equipment, changes to secondary purpose use, or changes in the secondary purpose maximum thermal energy demand; or</w:t>
            </w:r>
          </w:p>
          <w:p w14:paraId="62EEDAD6" w14:textId="77777777" w:rsidR="00B139DE" w:rsidRPr="006A4D20" w:rsidRDefault="00B139DE" w:rsidP="00252112">
            <w:pPr>
              <w:pStyle w:val="ListParagraph"/>
              <w:numPr>
                <w:ilvl w:val="1"/>
                <w:numId w:val="37"/>
              </w:numPr>
              <w:tabs>
                <w:tab w:val="left" w:pos="720"/>
              </w:tabs>
              <w:spacing w:before="14" w:line="293" w:lineRule="exact"/>
              <w:ind w:right="1008"/>
              <w:textAlignment w:val="baseline"/>
              <w:rPr>
                <w:rFonts w:ascii="Calibri" w:eastAsia="Calibri" w:hAnsi="Calibri"/>
                <w:color w:val="000000"/>
              </w:rPr>
            </w:pPr>
            <w:r w:rsidRPr="00FB05B5">
              <w:rPr>
                <w:rFonts w:ascii="Calibri" w:eastAsia="Calibri" w:hAnsi="Calibri"/>
                <w:color w:val="000000"/>
                <w:spacing w:val="-5"/>
              </w:rPr>
              <w:t>Indications the thermal energy measurement system is not performing in accordance with the</w:t>
            </w:r>
            <w:r w:rsidRPr="006A4D20">
              <w:rPr>
                <w:rFonts w:ascii="Calibri" w:eastAsia="Calibri" w:hAnsi="Calibri"/>
                <w:color w:val="000000"/>
              </w:rPr>
              <w:t xml:space="preserve"> thermal energy measurement plan.</w:t>
            </w:r>
          </w:p>
          <w:p w14:paraId="004E2621" w14:textId="77777777" w:rsidR="00B139DE" w:rsidRDefault="00B139DE" w:rsidP="00252112">
            <w:pPr>
              <w:spacing w:before="366"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194-40-450 – Thermal RECs - Tracking</w:t>
            </w:r>
          </w:p>
          <w:p w14:paraId="5119600F" w14:textId="77777777" w:rsidR="00B139DE" w:rsidRDefault="00B139DE" w:rsidP="00252112">
            <w:pPr>
              <w:pStyle w:val="ListParagraph"/>
              <w:numPr>
                <w:ilvl w:val="0"/>
                <w:numId w:val="39"/>
              </w:numPr>
              <w:tabs>
                <w:tab w:val="left" w:pos="720"/>
              </w:tabs>
              <w:spacing w:before="14" w:line="293" w:lineRule="exact"/>
              <w:ind w:right="1008"/>
              <w:textAlignment w:val="baseline"/>
              <w:rPr>
                <w:rFonts w:ascii="Calibri" w:eastAsia="Calibri" w:hAnsi="Calibri"/>
                <w:color w:val="000000"/>
              </w:rPr>
            </w:pPr>
            <w:r>
              <w:rPr>
                <w:rFonts w:ascii="Calibri" w:eastAsia="Calibri" w:hAnsi="Calibri"/>
                <w:color w:val="000000"/>
              </w:rPr>
              <w:t>Where continual measurements are required to determine the quantity of qualifying thermal energy, the operator of the thermal energy generating facility must take data readings at least once per hour, or more frequently as necessary to capture irregular or frequently varying parameters. For all facilities, the qualifying thermal energy produced must be totaled for each 24-hour period, each month, and each quarter.</w:t>
            </w:r>
          </w:p>
          <w:p w14:paraId="5586EF66" w14:textId="77777777" w:rsidR="00B139DE" w:rsidRPr="009B25B7" w:rsidRDefault="00B139DE" w:rsidP="00252112">
            <w:pPr>
              <w:pStyle w:val="ListParagraph"/>
              <w:numPr>
                <w:ilvl w:val="0"/>
                <w:numId w:val="39"/>
              </w:numPr>
              <w:tabs>
                <w:tab w:val="left" w:pos="720"/>
              </w:tabs>
              <w:spacing w:before="14" w:line="293" w:lineRule="exact"/>
              <w:ind w:right="1008"/>
              <w:textAlignment w:val="baseline"/>
              <w:rPr>
                <w:rFonts w:ascii="Calibri" w:eastAsia="Calibri" w:hAnsi="Calibri"/>
                <w:color w:val="000000"/>
              </w:rPr>
            </w:pPr>
            <w:r w:rsidRPr="009B25B7">
              <w:rPr>
                <w:rFonts w:ascii="Calibri" w:eastAsia="Calibri" w:hAnsi="Calibri"/>
                <w:color w:val="000000"/>
              </w:rPr>
              <w:t xml:space="preserve">The </w:t>
            </w:r>
            <w:r>
              <w:rPr>
                <w:rFonts w:ascii="Calibri" w:eastAsia="Calibri" w:hAnsi="Calibri"/>
                <w:color w:val="000000"/>
              </w:rPr>
              <w:t xml:space="preserve">operator of the </w:t>
            </w:r>
            <w:r w:rsidRPr="009B25B7">
              <w:rPr>
                <w:rFonts w:ascii="Calibri" w:eastAsia="Calibri" w:hAnsi="Calibri"/>
                <w:color w:val="000000"/>
              </w:rPr>
              <w:t>generating facility must retain measured data and related thermal energy calculations on-site for five calendar years and make records available for audit.</w:t>
            </w:r>
          </w:p>
          <w:p w14:paraId="349AFD03" w14:textId="77777777" w:rsidR="00B139DE" w:rsidRPr="009B25B7" w:rsidRDefault="00B139DE" w:rsidP="00252112">
            <w:pPr>
              <w:pStyle w:val="ListParagraph"/>
              <w:numPr>
                <w:ilvl w:val="0"/>
                <w:numId w:val="39"/>
              </w:numPr>
              <w:tabs>
                <w:tab w:val="left" w:pos="720"/>
              </w:tabs>
              <w:spacing w:before="14" w:line="293" w:lineRule="exact"/>
              <w:ind w:right="1008"/>
              <w:textAlignment w:val="baseline"/>
              <w:rPr>
                <w:rFonts w:ascii="Calibri" w:eastAsia="Calibri" w:hAnsi="Calibri"/>
                <w:color w:val="000000"/>
              </w:rPr>
            </w:pPr>
            <w:r>
              <w:rPr>
                <w:rFonts w:ascii="Calibri" w:eastAsia="Calibri" w:hAnsi="Calibri"/>
                <w:color w:val="000000"/>
              </w:rPr>
              <w:lastRenderedPageBreak/>
              <w:t xml:space="preserve">Prior to measuring qualifying thermal energy for the purpose of generating thermal RECs, the operator of the generating facility must perform, or have performed, an initial calibration of the thermal energy measurement system and all associated measurement devices, or demonstrate that a </w:t>
            </w:r>
            <w:r w:rsidRPr="009B25B7">
              <w:rPr>
                <w:rFonts w:ascii="Calibri" w:eastAsia="Calibri" w:hAnsi="Calibri"/>
                <w:color w:val="000000"/>
              </w:rPr>
              <w:t>calibration has been performed as specified by system component manufacturers or within the last 365 days of the application date for certification as compliant with these rules. All measurement devices shall be recalibrated annually or as specified by system component manufacturers to maintain specified accuracy. Calibrations must be performed using the calibration procedures specified by the meter manufacturer, calibration methods published by a consensus-based standards organization, or other industry accepted practice.</w:t>
            </w:r>
          </w:p>
          <w:p w14:paraId="38E93794" w14:textId="77777777" w:rsidR="00B139DE" w:rsidRDefault="00B139DE" w:rsidP="00252112">
            <w:pPr>
              <w:pStyle w:val="ListParagraph"/>
              <w:numPr>
                <w:ilvl w:val="0"/>
                <w:numId w:val="39"/>
              </w:numPr>
              <w:tabs>
                <w:tab w:val="left" w:pos="720"/>
              </w:tabs>
              <w:spacing w:before="14" w:line="293" w:lineRule="exact"/>
              <w:ind w:right="1008"/>
              <w:textAlignment w:val="baseline"/>
              <w:rPr>
                <w:rFonts w:ascii="Calibri" w:eastAsia="Calibri" w:hAnsi="Calibri"/>
                <w:color w:val="000000"/>
              </w:rPr>
            </w:pPr>
            <w:r>
              <w:rPr>
                <w:rFonts w:ascii="Calibri" w:eastAsia="Calibri" w:hAnsi="Calibri"/>
                <w:color w:val="000000"/>
              </w:rPr>
              <w:t>Individuals designing, installing, operating, and maintaining the thermal energy measurement system must have appropriate training and certification. The generating facility must maintain documentation of maintenance and calibration activities.</w:t>
            </w:r>
          </w:p>
          <w:p w14:paraId="6605FA49" w14:textId="77777777" w:rsidR="00B139DE" w:rsidRPr="009B25B7" w:rsidRDefault="00B139DE" w:rsidP="00252112">
            <w:pPr>
              <w:spacing w:before="372" w:line="229" w:lineRule="exact"/>
              <w:textAlignment w:val="baseline"/>
              <w:rPr>
                <w:rFonts w:ascii="Calibri" w:eastAsia="Calibri" w:hAnsi="Calibri"/>
                <w:b/>
                <w:color w:val="000000"/>
                <w:spacing w:val="-4"/>
              </w:rPr>
            </w:pPr>
            <w:r w:rsidRPr="009B25B7">
              <w:rPr>
                <w:rFonts w:ascii="Calibri" w:eastAsia="Calibri" w:hAnsi="Calibri"/>
                <w:b/>
                <w:color w:val="000000"/>
                <w:spacing w:val="-4"/>
              </w:rPr>
              <w:t>194-40-460 – Thermal RECs - Reporting</w:t>
            </w:r>
          </w:p>
          <w:p w14:paraId="0E5FB457" w14:textId="77777777" w:rsidR="00B139DE" w:rsidRPr="00252112" w:rsidRDefault="00B139DE" w:rsidP="00252112">
            <w:pPr>
              <w:spacing w:line="293" w:lineRule="exact"/>
              <w:textAlignment w:val="baseline"/>
              <w:rPr>
                <w:rFonts w:ascii="Calibri" w:eastAsia="Calibri" w:hAnsi="Calibri"/>
                <w:color w:val="000000"/>
              </w:rPr>
            </w:pPr>
            <w:r>
              <w:rPr>
                <w:rFonts w:ascii="Calibri" w:eastAsia="Calibri" w:hAnsi="Calibri"/>
                <w:color w:val="000000"/>
              </w:rPr>
              <w:t>All t</w:t>
            </w:r>
            <w:r w:rsidRPr="009B25B7">
              <w:rPr>
                <w:rFonts w:ascii="Calibri" w:eastAsia="Calibri" w:hAnsi="Calibri"/>
                <w:color w:val="000000"/>
              </w:rPr>
              <w:t>hermal RECs are subject to the requirements of WAC 194-</w:t>
            </w:r>
            <w:r>
              <w:rPr>
                <w:rFonts w:ascii="Calibri" w:eastAsia="Calibri" w:hAnsi="Calibri"/>
                <w:color w:val="000000"/>
              </w:rPr>
              <w:t>40-400.</w:t>
            </w:r>
            <w:r w:rsidRPr="009B25B7">
              <w:rPr>
                <w:rFonts w:ascii="Calibri" w:eastAsia="Calibri" w:hAnsi="Calibri"/>
                <w:color w:val="000000"/>
              </w:rPr>
              <w:t xml:space="preserve"> </w:t>
            </w:r>
          </w:p>
        </w:tc>
      </w:tr>
    </w:tbl>
    <w:p w14:paraId="458FBE65" w14:textId="77777777" w:rsidR="00856B03" w:rsidRDefault="00856B03" w:rsidP="0078346E">
      <w:pPr>
        <w:spacing w:before="11" w:line="269" w:lineRule="exact"/>
        <w:ind w:left="72" w:right="144"/>
        <w:jc w:val="both"/>
        <w:textAlignment w:val="baseline"/>
        <w:rPr>
          <w:rFonts w:ascii="Calibri" w:eastAsia="Calibri" w:hAnsi="Calibri"/>
          <w:color w:val="000000"/>
          <w:sz w:val="23"/>
        </w:rPr>
      </w:pPr>
    </w:p>
    <w:sectPr w:rsidR="00856B03">
      <w:footerReference w:type="default" r:id="rId9"/>
      <w:type w:val="continuous"/>
      <w:pgSz w:w="12240" w:h="15840"/>
      <w:pgMar w:top="1420" w:right="1541" w:bottom="60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84DA" w14:textId="77777777" w:rsidR="0042355B" w:rsidRDefault="0042355B" w:rsidP="00CF0280">
      <w:r>
        <w:separator/>
      </w:r>
    </w:p>
  </w:endnote>
  <w:endnote w:type="continuationSeparator" w:id="0">
    <w:p w14:paraId="56E38DE9" w14:textId="77777777" w:rsidR="0042355B" w:rsidRDefault="0042355B" w:rsidP="00CF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02D2" w14:textId="4C6BD49A" w:rsidR="00C70A2D" w:rsidRDefault="00C70A2D">
    <w:pPr>
      <w:pStyle w:val="Footer"/>
    </w:pPr>
    <w:r>
      <w:t>CETA rules 2</w:t>
    </w:r>
    <w:r w:rsidRPr="00C70A2D">
      <w:rPr>
        <w:vertAlign w:val="superscript"/>
      </w:rPr>
      <w:t>nd</w:t>
    </w:r>
    <w:r>
      <w:t xml:space="preserve"> discussion draft 08/14/2020 – page </w:t>
    </w:r>
    <w:r>
      <w:fldChar w:fldCharType="begin"/>
    </w:r>
    <w:r>
      <w:instrText xml:space="preserve"> PAGE   \* MERGEFORMAT </w:instrText>
    </w:r>
    <w:r>
      <w:fldChar w:fldCharType="separate"/>
    </w:r>
    <w:r>
      <w:rPr>
        <w:noProof/>
      </w:rPr>
      <w:t>4</w:t>
    </w:r>
    <w:r>
      <w:rPr>
        <w:noProof/>
      </w:rPr>
      <w:fldChar w:fldCharType="end"/>
    </w:r>
  </w:p>
  <w:p w14:paraId="7948E7C4" w14:textId="77777777" w:rsidR="000A1A71" w:rsidRDefault="000A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7C63" w14:textId="77777777" w:rsidR="0042355B" w:rsidRDefault="0042355B" w:rsidP="00CF0280">
      <w:r>
        <w:separator/>
      </w:r>
    </w:p>
  </w:footnote>
  <w:footnote w:type="continuationSeparator" w:id="0">
    <w:p w14:paraId="089EB06A" w14:textId="77777777" w:rsidR="0042355B" w:rsidRDefault="0042355B" w:rsidP="00CF0280">
      <w:r>
        <w:continuationSeparator/>
      </w:r>
    </w:p>
  </w:footnote>
  <w:footnote w:id="1">
    <w:p w14:paraId="54E76675" w14:textId="60E35432" w:rsidR="00C70A2D" w:rsidRDefault="00C70A2D">
      <w:pPr>
        <w:pStyle w:val="FootnoteText"/>
      </w:pPr>
      <w:r>
        <w:rPr>
          <w:rStyle w:val="FootnoteReference"/>
        </w:rPr>
        <w:footnoteRef/>
      </w:r>
      <w:r>
        <w:t xml:space="preserve"> References in [square brackets] are to the RCW provision related to the draft rule. These </w:t>
      </w:r>
      <w:proofErr w:type="gramStart"/>
      <w:r>
        <w:t>are provided</w:t>
      </w:r>
      <w:proofErr w:type="gramEnd"/>
      <w:r>
        <w:t xml:space="preserve"> for assistance in review and comment and will not be part of the final rule.</w:t>
      </w:r>
    </w:p>
  </w:footnote>
  <w:footnote w:id="2">
    <w:p w14:paraId="2F99EA39" w14:textId="68039880" w:rsidR="0042355B" w:rsidRDefault="0042355B" w:rsidP="00591FBF">
      <w:pPr>
        <w:pStyle w:val="FootnoteText"/>
      </w:pPr>
      <w:r>
        <w:rPr>
          <w:rStyle w:val="FootnoteReference"/>
        </w:rPr>
        <w:footnoteRef/>
      </w:r>
      <w:r>
        <w:t xml:space="preserve"> Example calculation for subsection (1)(b):</w:t>
      </w:r>
    </w:p>
    <w:tbl>
      <w:tblPr>
        <w:tblStyle w:val="TableGrid"/>
        <w:tblW w:w="9715" w:type="dxa"/>
        <w:tblLook w:val="04A0" w:firstRow="1" w:lastRow="0" w:firstColumn="1" w:lastColumn="0" w:noHBand="0" w:noVBand="1"/>
      </w:tblPr>
      <w:tblGrid>
        <w:gridCol w:w="739"/>
        <w:gridCol w:w="1353"/>
        <w:gridCol w:w="1233"/>
        <w:gridCol w:w="1710"/>
        <w:gridCol w:w="2430"/>
        <w:gridCol w:w="2250"/>
      </w:tblGrid>
      <w:tr w:rsidR="0042355B" w14:paraId="1AC85200" w14:textId="77777777" w:rsidTr="00C70A2D">
        <w:trPr>
          <w:cantSplit/>
        </w:trPr>
        <w:tc>
          <w:tcPr>
            <w:tcW w:w="739" w:type="dxa"/>
            <w:vAlign w:val="center"/>
          </w:tcPr>
          <w:p w14:paraId="3EBB4A73" w14:textId="77777777" w:rsidR="0042355B" w:rsidRDefault="0042355B">
            <w:pPr>
              <w:pStyle w:val="FootnoteText"/>
            </w:pPr>
            <w:r>
              <w:t>Year</w:t>
            </w:r>
          </w:p>
        </w:tc>
        <w:tc>
          <w:tcPr>
            <w:tcW w:w="1353" w:type="dxa"/>
            <w:vAlign w:val="center"/>
          </w:tcPr>
          <w:p w14:paraId="3223EB08" w14:textId="77777777" w:rsidR="0042355B" w:rsidRDefault="0042355B" w:rsidP="0065084E">
            <w:pPr>
              <w:pStyle w:val="FootnoteText"/>
              <w:jc w:val="center"/>
            </w:pPr>
            <w:r>
              <w:t>Retail Revenue Requirement</w:t>
            </w:r>
          </w:p>
        </w:tc>
        <w:tc>
          <w:tcPr>
            <w:tcW w:w="1233" w:type="dxa"/>
            <w:vAlign w:val="center"/>
          </w:tcPr>
          <w:p w14:paraId="26FC4FCD" w14:textId="77777777" w:rsidR="0042355B" w:rsidRDefault="0042355B" w:rsidP="0065084E">
            <w:pPr>
              <w:pStyle w:val="FootnoteText"/>
              <w:jc w:val="center"/>
            </w:pPr>
            <w:r>
              <w:t>Directly Attributable Costs (DAC)</w:t>
            </w:r>
          </w:p>
        </w:tc>
        <w:tc>
          <w:tcPr>
            <w:tcW w:w="1710" w:type="dxa"/>
            <w:vAlign w:val="center"/>
          </w:tcPr>
          <w:p w14:paraId="388E204C" w14:textId="77777777" w:rsidR="0042355B" w:rsidRDefault="0042355B" w:rsidP="00591FBF">
            <w:pPr>
              <w:pStyle w:val="FootnoteText"/>
              <w:jc w:val="center"/>
            </w:pPr>
            <w:r>
              <w:t>Revenue Increase Required to Recover DAC</w:t>
            </w:r>
          </w:p>
        </w:tc>
        <w:tc>
          <w:tcPr>
            <w:tcW w:w="2430" w:type="dxa"/>
            <w:vAlign w:val="center"/>
          </w:tcPr>
          <w:p w14:paraId="3F79DF9F" w14:textId="77777777" w:rsidR="0042355B" w:rsidRDefault="0042355B" w:rsidP="0065084E">
            <w:pPr>
              <w:pStyle w:val="FootnoteText"/>
              <w:jc w:val="center"/>
            </w:pPr>
            <w:r>
              <w:t>Revenue Increase as a Percent of Prior Year Revenue Requirement</w:t>
            </w:r>
          </w:p>
        </w:tc>
        <w:tc>
          <w:tcPr>
            <w:tcW w:w="2250" w:type="dxa"/>
            <w:vAlign w:val="center"/>
          </w:tcPr>
          <w:p w14:paraId="4184B2B3" w14:textId="77777777" w:rsidR="0042355B" w:rsidRDefault="0042355B" w:rsidP="0065084E">
            <w:pPr>
              <w:pStyle w:val="FootnoteText"/>
              <w:jc w:val="center"/>
            </w:pPr>
            <w:r>
              <w:t>Average Increase as a Percent of Prior Year Revenue Requirement</w:t>
            </w:r>
          </w:p>
        </w:tc>
      </w:tr>
      <w:tr w:rsidR="0042355B" w14:paraId="507F37D1" w14:textId="77777777" w:rsidTr="00C70A2D">
        <w:trPr>
          <w:cantSplit/>
        </w:trPr>
        <w:tc>
          <w:tcPr>
            <w:tcW w:w="739" w:type="dxa"/>
            <w:vAlign w:val="center"/>
          </w:tcPr>
          <w:p w14:paraId="11FE7CBB" w14:textId="5D9E4207" w:rsidR="0042355B" w:rsidRDefault="0042355B">
            <w:pPr>
              <w:pStyle w:val="FootnoteText"/>
            </w:pPr>
            <w:r>
              <w:t>0</w:t>
            </w:r>
          </w:p>
        </w:tc>
        <w:tc>
          <w:tcPr>
            <w:tcW w:w="1353" w:type="dxa"/>
            <w:vAlign w:val="center"/>
          </w:tcPr>
          <w:p w14:paraId="6B03C448" w14:textId="77777777" w:rsidR="0042355B" w:rsidRDefault="0042355B" w:rsidP="0065084E">
            <w:pPr>
              <w:pStyle w:val="FootnoteText"/>
              <w:jc w:val="center"/>
            </w:pPr>
            <w:r>
              <w:t>100</w:t>
            </w:r>
          </w:p>
        </w:tc>
        <w:tc>
          <w:tcPr>
            <w:tcW w:w="1233" w:type="dxa"/>
            <w:vAlign w:val="center"/>
          </w:tcPr>
          <w:p w14:paraId="0A8E00C3" w14:textId="77777777" w:rsidR="0042355B" w:rsidRDefault="0042355B" w:rsidP="0065084E">
            <w:pPr>
              <w:pStyle w:val="FootnoteText"/>
              <w:jc w:val="center"/>
            </w:pPr>
          </w:p>
        </w:tc>
        <w:tc>
          <w:tcPr>
            <w:tcW w:w="1710" w:type="dxa"/>
            <w:vAlign w:val="center"/>
          </w:tcPr>
          <w:p w14:paraId="04BFDD09" w14:textId="77777777" w:rsidR="0042355B" w:rsidRDefault="0042355B" w:rsidP="0065084E">
            <w:pPr>
              <w:pStyle w:val="FootnoteText"/>
              <w:jc w:val="center"/>
            </w:pPr>
          </w:p>
        </w:tc>
        <w:tc>
          <w:tcPr>
            <w:tcW w:w="2430" w:type="dxa"/>
            <w:vAlign w:val="center"/>
          </w:tcPr>
          <w:p w14:paraId="4F8F4B7B" w14:textId="77777777" w:rsidR="0042355B" w:rsidRDefault="0042355B" w:rsidP="0065084E">
            <w:pPr>
              <w:pStyle w:val="FootnoteText"/>
              <w:jc w:val="center"/>
            </w:pPr>
          </w:p>
        </w:tc>
        <w:tc>
          <w:tcPr>
            <w:tcW w:w="2250" w:type="dxa"/>
            <w:vAlign w:val="center"/>
          </w:tcPr>
          <w:p w14:paraId="474F83C7" w14:textId="77777777" w:rsidR="0042355B" w:rsidRDefault="0042355B" w:rsidP="0065084E">
            <w:pPr>
              <w:pStyle w:val="FootnoteText"/>
              <w:jc w:val="center"/>
            </w:pPr>
          </w:p>
        </w:tc>
      </w:tr>
      <w:tr w:rsidR="0042355B" w14:paraId="76D92DCE" w14:textId="77777777" w:rsidTr="00C70A2D">
        <w:trPr>
          <w:cantSplit/>
        </w:trPr>
        <w:tc>
          <w:tcPr>
            <w:tcW w:w="739" w:type="dxa"/>
            <w:vAlign w:val="center"/>
          </w:tcPr>
          <w:p w14:paraId="3B8D348D" w14:textId="14B26800" w:rsidR="0042355B" w:rsidRDefault="0042355B">
            <w:pPr>
              <w:pStyle w:val="FootnoteText"/>
            </w:pPr>
            <w:r>
              <w:t>1</w:t>
            </w:r>
          </w:p>
        </w:tc>
        <w:tc>
          <w:tcPr>
            <w:tcW w:w="1353" w:type="dxa"/>
            <w:vAlign w:val="center"/>
          </w:tcPr>
          <w:p w14:paraId="3325E715" w14:textId="77777777" w:rsidR="0042355B" w:rsidRDefault="0042355B" w:rsidP="00591FBF">
            <w:pPr>
              <w:pStyle w:val="FootnoteText"/>
              <w:jc w:val="center"/>
            </w:pPr>
            <w:r>
              <w:t>105</w:t>
            </w:r>
          </w:p>
        </w:tc>
        <w:tc>
          <w:tcPr>
            <w:tcW w:w="1233" w:type="dxa"/>
            <w:vAlign w:val="center"/>
          </w:tcPr>
          <w:p w14:paraId="501ECCA5" w14:textId="77777777" w:rsidR="0042355B" w:rsidRDefault="0042355B" w:rsidP="0065084E">
            <w:pPr>
              <w:pStyle w:val="FootnoteText"/>
              <w:jc w:val="center"/>
            </w:pPr>
            <w:r>
              <w:t>4</w:t>
            </w:r>
          </w:p>
        </w:tc>
        <w:tc>
          <w:tcPr>
            <w:tcW w:w="1710" w:type="dxa"/>
            <w:vAlign w:val="center"/>
          </w:tcPr>
          <w:p w14:paraId="489DC2BD" w14:textId="77777777" w:rsidR="0042355B" w:rsidRDefault="0042355B" w:rsidP="0065084E">
            <w:pPr>
              <w:pStyle w:val="FootnoteText"/>
              <w:jc w:val="center"/>
            </w:pPr>
            <w:r>
              <w:t>4</w:t>
            </w:r>
          </w:p>
        </w:tc>
        <w:tc>
          <w:tcPr>
            <w:tcW w:w="2430" w:type="dxa"/>
            <w:vAlign w:val="center"/>
          </w:tcPr>
          <w:p w14:paraId="67449C9B" w14:textId="77777777" w:rsidR="0042355B" w:rsidRDefault="0042355B" w:rsidP="0065084E">
            <w:pPr>
              <w:pStyle w:val="FootnoteText"/>
              <w:jc w:val="center"/>
            </w:pPr>
            <w:r>
              <w:t>4.0%</w:t>
            </w:r>
          </w:p>
        </w:tc>
        <w:tc>
          <w:tcPr>
            <w:tcW w:w="2250" w:type="dxa"/>
            <w:vMerge w:val="restart"/>
            <w:vAlign w:val="center"/>
          </w:tcPr>
          <w:p w14:paraId="4E38DF3E" w14:textId="77777777" w:rsidR="0042355B" w:rsidRDefault="0042355B" w:rsidP="0065084E">
            <w:pPr>
              <w:pStyle w:val="FootnoteText"/>
              <w:jc w:val="center"/>
            </w:pPr>
            <w:r>
              <w:t>1.9%</w:t>
            </w:r>
          </w:p>
        </w:tc>
      </w:tr>
      <w:tr w:rsidR="0042355B" w14:paraId="67AA326B" w14:textId="77777777" w:rsidTr="00C70A2D">
        <w:trPr>
          <w:cantSplit/>
        </w:trPr>
        <w:tc>
          <w:tcPr>
            <w:tcW w:w="739" w:type="dxa"/>
            <w:vAlign w:val="center"/>
          </w:tcPr>
          <w:p w14:paraId="04BF2157" w14:textId="6376E2F8" w:rsidR="0042355B" w:rsidRDefault="0042355B">
            <w:pPr>
              <w:pStyle w:val="FootnoteText"/>
            </w:pPr>
            <w:r>
              <w:t>2</w:t>
            </w:r>
          </w:p>
        </w:tc>
        <w:tc>
          <w:tcPr>
            <w:tcW w:w="1353" w:type="dxa"/>
            <w:vAlign w:val="center"/>
          </w:tcPr>
          <w:p w14:paraId="336EB07E" w14:textId="77777777" w:rsidR="0042355B" w:rsidRDefault="0042355B" w:rsidP="00591FBF">
            <w:pPr>
              <w:pStyle w:val="FootnoteText"/>
              <w:jc w:val="center"/>
            </w:pPr>
            <w:r>
              <w:t>110</w:t>
            </w:r>
          </w:p>
        </w:tc>
        <w:tc>
          <w:tcPr>
            <w:tcW w:w="1233" w:type="dxa"/>
            <w:vAlign w:val="center"/>
          </w:tcPr>
          <w:p w14:paraId="387599DB" w14:textId="77777777" w:rsidR="0042355B" w:rsidRDefault="0042355B" w:rsidP="0065084E">
            <w:pPr>
              <w:pStyle w:val="FootnoteText"/>
              <w:jc w:val="center"/>
            </w:pPr>
            <w:r>
              <w:t>7</w:t>
            </w:r>
          </w:p>
        </w:tc>
        <w:tc>
          <w:tcPr>
            <w:tcW w:w="1710" w:type="dxa"/>
            <w:vAlign w:val="center"/>
          </w:tcPr>
          <w:p w14:paraId="129C365C" w14:textId="77777777" w:rsidR="0042355B" w:rsidRDefault="0042355B" w:rsidP="0065084E">
            <w:pPr>
              <w:pStyle w:val="FootnoteText"/>
              <w:jc w:val="center"/>
            </w:pPr>
            <w:r>
              <w:t>3</w:t>
            </w:r>
          </w:p>
        </w:tc>
        <w:tc>
          <w:tcPr>
            <w:tcW w:w="2430" w:type="dxa"/>
            <w:vAlign w:val="center"/>
          </w:tcPr>
          <w:p w14:paraId="0DDE2C0F" w14:textId="77777777" w:rsidR="0042355B" w:rsidRDefault="0042355B" w:rsidP="0065084E">
            <w:pPr>
              <w:pStyle w:val="FootnoteText"/>
              <w:jc w:val="center"/>
            </w:pPr>
            <w:r>
              <w:t>2.8%</w:t>
            </w:r>
          </w:p>
        </w:tc>
        <w:tc>
          <w:tcPr>
            <w:tcW w:w="2250" w:type="dxa"/>
            <w:vMerge/>
            <w:vAlign w:val="center"/>
          </w:tcPr>
          <w:p w14:paraId="1F4CFD9D" w14:textId="77777777" w:rsidR="0042355B" w:rsidRDefault="0042355B" w:rsidP="0065084E">
            <w:pPr>
              <w:pStyle w:val="FootnoteText"/>
              <w:jc w:val="center"/>
            </w:pPr>
          </w:p>
        </w:tc>
      </w:tr>
      <w:tr w:rsidR="0042355B" w14:paraId="7189EFD9" w14:textId="77777777" w:rsidTr="00C70A2D">
        <w:trPr>
          <w:cantSplit/>
        </w:trPr>
        <w:tc>
          <w:tcPr>
            <w:tcW w:w="739" w:type="dxa"/>
            <w:vAlign w:val="center"/>
          </w:tcPr>
          <w:p w14:paraId="075D3088" w14:textId="66551098" w:rsidR="0042355B" w:rsidRDefault="0042355B">
            <w:pPr>
              <w:pStyle w:val="FootnoteText"/>
            </w:pPr>
            <w:r>
              <w:t>3</w:t>
            </w:r>
          </w:p>
        </w:tc>
        <w:tc>
          <w:tcPr>
            <w:tcW w:w="1353" w:type="dxa"/>
            <w:vAlign w:val="center"/>
          </w:tcPr>
          <w:p w14:paraId="1D1B75F9" w14:textId="77777777" w:rsidR="0042355B" w:rsidRDefault="0042355B" w:rsidP="00591FBF">
            <w:pPr>
              <w:pStyle w:val="FootnoteText"/>
              <w:jc w:val="center"/>
            </w:pPr>
            <w:r>
              <w:t>115</w:t>
            </w:r>
          </w:p>
        </w:tc>
        <w:tc>
          <w:tcPr>
            <w:tcW w:w="1233" w:type="dxa"/>
            <w:vAlign w:val="center"/>
          </w:tcPr>
          <w:p w14:paraId="41899D82" w14:textId="77777777" w:rsidR="0042355B" w:rsidRDefault="0042355B" w:rsidP="0065084E">
            <w:pPr>
              <w:pStyle w:val="FootnoteText"/>
              <w:jc w:val="center"/>
            </w:pPr>
            <w:r>
              <w:t>7</w:t>
            </w:r>
          </w:p>
        </w:tc>
        <w:tc>
          <w:tcPr>
            <w:tcW w:w="1710" w:type="dxa"/>
            <w:vAlign w:val="center"/>
          </w:tcPr>
          <w:p w14:paraId="576C6C13" w14:textId="77777777" w:rsidR="0042355B" w:rsidRDefault="0042355B" w:rsidP="0065084E">
            <w:pPr>
              <w:pStyle w:val="FootnoteText"/>
              <w:jc w:val="center"/>
            </w:pPr>
            <w:r>
              <w:t>0</w:t>
            </w:r>
          </w:p>
        </w:tc>
        <w:tc>
          <w:tcPr>
            <w:tcW w:w="2430" w:type="dxa"/>
            <w:vAlign w:val="center"/>
          </w:tcPr>
          <w:p w14:paraId="757B0BA9" w14:textId="77777777" w:rsidR="0042355B" w:rsidRDefault="0042355B" w:rsidP="0065084E">
            <w:pPr>
              <w:pStyle w:val="FootnoteText"/>
              <w:jc w:val="center"/>
            </w:pPr>
            <w:r>
              <w:t>0.0%</w:t>
            </w:r>
          </w:p>
        </w:tc>
        <w:tc>
          <w:tcPr>
            <w:tcW w:w="2250" w:type="dxa"/>
            <w:vMerge/>
            <w:vAlign w:val="center"/>
          </w:tcPr>
          <w:p w14:paraId="0C7B4EC7" w14:textId="77777777" w:rsidR="0042355B" w:rsidRDefault="0042355B" w:rsidP="0065084E">
            <w:pPr>
              <w:pStyle w:val="FootnoteText"/>
              <w:jc w:val="center"/>
            </w:pPr>
          </w:p>
        </w:tc>
      </w:tr>
      <w:tr w:rsidR="0042355B" w14:paraId="49C68CD8" w14:textId="77777777" w:rsidTr="00C70A2D">
        <w:trPr>
          <w:cantSplit/>
        </w:trPr>
        <w:tc>
          <w:tcPr>
            <w:tcW w:w="739" w:type="dxa"/>
            <w:vAlign w:val="center"/>
          </w:tcPr>
          <w:p w14:paraId="53C34394" w14:textId="5A34B371" w:rsidR="0042355B" w:rsidRDefault="0042355B">
            <w:pPr>
              <w:pStyle w:val="FootnoteText"/>
            </w:pPr>
            <w:r>
              <w:t>4</w:t>
            </w:r>
          </w:p>
        </w:tc>
        <w:tc>
          <w:tcPr>
            <w:tcW w:w="1353" w:type="dxa"/>
            <w:vAlign w:val="center"/>
          </w:tcPr>
          <w:p w14:paraId="05046667" w14:textId="77777777" w:rsidR="0042355B" w:rsidRDefault="0042355B" w:rsidP="00591FBF">
            <w:pPr>
              <w:pStyle w:val="FootnoteText"/>
              <w:jc w:val="center"/>
            </w:pPr>
            <w:r>
              <w:t>120</w:t>
            </w:r>
          </w:p>
        </w:tc>
        <w:tc>
          <w:tcPr>
            <w:tcW w:w="1233" w:type="dxa"/>
            <w:vAlign w:val="center"/>
          </w:tcPr>
          <w:p w14:paraId="14D92489" w14:textId="77777777" w:rsidR="0042355B" w:rsidRDefault="0042355B" w:rsidP="0065084E">
            <w:pPr>
              <w:pStyle w:val="FootnoteText"/>
              <w:jc w:val="center"/>
            </w:pPr>
            <w:r>
              <w:t>8</w:t>
            </w:r>
          </w:p>
        </w:tc>
        <w:tc>
          <w:tcPr>
            <w:tcW w:w="1710" w:type="dxa"/>
            <w:vAlign w:val="center"/>
          </w:tcPr>
          <w:p w14:paraId="695B4833" w14:textId="77777777" w:rsidR="0042355B" w:rsidRDefault="0042355B" w:rsidP="0065084E">
            <w:pPr>
              <w:pStyle w:val="FootnoteText"/>
              <w:jc w:val="center"/>
            </w:pPr>
            <w:r>
              <w:t>1</w:t>
            </w:r>
          </w:p>
        </w:tc>
        <w:tc>
          <w:tcPr>
            <w:tcW w:w="2430" w:type="dxa"/>
            <w:vAlign w:val="center"/>
          </w:tcPr>
          <w:p w14:paraId="6DEDC1B6" w14:textId="77777777" w:rsidR="0042355B" w:rsidRDefault="0042355B" w:rsidP="0065084E">
            <w:pPr>
              <w:pStyle w:val="FootnoteText"/>
              <w:jc w:val="center"/>
            </w:pPr>
            <w:r>
              <w:t>0.9%</w:t>
            </w:r>
          </w:p>
        </w:tc>
        <w:tc>
          <w:tcPr>
            <w:tcW w:w="2250" w:type="dxa"/>
            <w:vMerge/>
            <w:vAlign w:val="center"/>
          </w:tcPr>
          <w:p w14:paraId="552D669E" w14:textId="77777777" w:rsidR="0042355B" w:rsidRDefault="0042355B" w:rsidP="0065084E">
            <w:pPr>
              <w:pStyle w:val="FootnoteText"/>
              <w:jc w:val="center"/>
            </w:pPr>
          </w:p>
        </w:tc>
      </w:tr>
    </w:tbl>
    <w:p w14:paraId="61162551" w14:textId="77777777" w:rsidR="0042355B" w:rsidRDefault="0042355B" w:rsidP="00591F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02"/>
    <w:multiLevelType w:val="multilevel"/>
    <w:tmpl w:val="B09E275A"/>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05F0D"/>
    <w:multiLevelType w:val="multilevel"/>
    <w:tmpl w:val="77929B30"/>
    <w:lvl w:ilvl="0">
      <w:start w:val="1"/>
      <w:numFmt w:val="lowerRoman"/>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755E9"/>
    <w:multiLevelType w:val="multilevel"/>
    <w:tmpl w:val="E09443D2"/>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0184D"/>
    <w:multiLevelType w:val="multilevel"/>
    <w:tmpl w:val="0964B502"/>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A470F"/>
    <w:multiLevelType w:val="multilevel"/>
    <w:tmpl w:val="1F5C9156"/>
    <w:lvl w:ilvl="0">
      <w:start w:val="1"/>
      <w:numFmt w:val="decimal"/>
      <w:lvlText w:val="(%1)"/>
      <w:lvlJc w:val="left"/>
      <w:pPr>
        <w:tabs>
          <w:tab w:val="left" w:pos="360"/>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F1EE3"/>
    <w:multiLevelType w:val="multilevel"/>
    <w:tmpl w:val="647A027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84D1F"/>
    <w:multiLevelType w:val="hybridMultilevel"/>
    <w:tmpl w:val="94CE4B50"/>
    <w:lvl w:ilvl="0" w:tplc="E8C447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93546"/>
    <w:multiLevelType w:val="multilevel"/>
    <w:tmpl w:val="F4A4C41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5C295F"/>
    <w:multiLevelType w:val="multilevel"/>
    <w:tmpl w:val="B6EAA50C"/>
    <w:lvl w:ilvl="0">
      <w:start w:val="1"/>
      <w:numFmt w:val="lowerRoman"/>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46E74"/>
    <w:multiLevelType w:val="multilevel"/>
    <w:tmpl w:val="63B23810"/>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B2034"/>
    <w:multiLevelType w:val="multilevel"/>
    <w:tmpl w:val="21C28F78"/>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BA6232"/>
    <w:multiLevelType w:val="multilevel"/>
    <w:tmpl w:val="B54EF1CC"/>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0C1856"/>
    <w:multiLevelType w:val="multilevel"/>
    <w:tmpl w:val="A40276FA"/>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90DDC"/>
    <w:multiLevelType w:val="multilevel"/>
    <w:tmpl w:val="B1F697D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02C98"/>
    <w:multiLevelType w:val="multilevel"/>
    <w:tmpl w:val="1F5C9156"/>
    <w:lvl w:ilvl="0">
      <w:start w:val="1"/>
      <w:numFmt w:val="decimal"/>
      <w:lvlText w:val="(%1)"/>
      <w:lvlJc w:val="left"/>
      <w:pPr>
        <w:tabs>
          <w:tab w:val="left" w:pos="360"/>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5B36EB"/>
    <w:multiLevelType w:val="hybridMultilevel"/>
    <w:tmpl w:val="9AD6B2B8"/>
    <w:lvl w:ilvl="0" w:tplc="56FEDAA4">
      <w:start w:val="1"/>
      <w:numFmt w:val="decimal"/>
      <w:lvlText w:val="(%1)"/>
      <w:lvlJc w:val="left"/>
      <w:pPr>
        <w:ind w:left="360" w:hanging="360"/>
      </w:pPr>
      <w:rPr>
        <w:rFonts w:hint="default"/>
      </w:rPr>
    </w:lvl>
    <w:lvl w:ilvl="1" w:tplc="EC1EC096">
      <w:start w:val="1"/>
      <w:numFmt w:val="low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63946"/>
    <w:multiLevelType w:val="multilevel"/>
    <w:tmpl w:val="E09443D2"/>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C7414"/>
    <w:multiLevelType w:val="multilevel"/>
    <w:tmpl w:val="D6B0A0BC"/>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D5D0D"/>
    <w:multiLevelType w:val="multilevel"/>
    <w:tmpl w:val="82D2125E"/>
    <w:lvl w:ilvl="0">
      <w:start w:val="1"/>
      <w:numFmt w:val="decimal"/>
      <w:lvlText w:val="%1."/>
      <w:lvlJc w:val="left"/>
      <w:pPr>
        <w:tabs>
          <w:tab w:val="left" w:pos="-180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636DD"/>
    <w:multiLevelType w:val="multilevel"/>
    <w:tmpl w:val="EB3871A6"/>
    <w:lvl w:ilvl="0">
      <w:start w:val="1"/>
      <w:numFmt w:val="lowerRoman"/>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301287"/>
    <w:multiLevelType w:val="multilevel"/>
    <w:tmpl w:val="E4427B5E"/>
    <w:lvl w:ilvl="0">
      <w:start w:val="1"/>
      <w:numFmt w:val="lowerRoman"/>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BF0052"/>
    <w:multiLevelType w:val="multilevel"/>
    <w:tmpl w:val="EFB6990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94286"/>
    <w:multiLevelType w:val="multilevel"/>
    <w:tmpl w:val="EFB6990E"/>
    <w:lvl w:ilvl="0">
      <w:start w:val="1"/>
      <w:numFmt w:val="lowerLetter"/>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55782A"/>
    <w:multiLevelType w:val="multilevel"/>
    <w:tmpl w:val="6106B456"/>
    <w:lvl w:ilvl="0">
      <w:start w:val="3"/>
      <w:numFmt w:val="lowerLetter"/>
      <w:lvlText w:val="%1."/>
      <w:lvlJc w:val="left"/>
      <w:pPr>
        <w:tabs>
          <w:tab w:val="left" w:pos="360"/>
        </w:tabs>
      </w:pPr>
      <w:rPr>
        <w:rFonts w:ascii="Calibri" w:eastAsia="Calibri" w:hAnsi="Calibri"/>
        <w:b/>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5F1219"/>
    <w:multiLevelType w:val="multilevel"/>
    <w:tmpl w:val="1E145A3A"/>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8E0D93"/>
    <w:multiLevelType w:val="multilevel"/>
    <w:tmpl w:val="D774032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950F0C"/>
    <w:multiLevelType w:val="hybridMultilevel"/>
    <w:tmpl w:val="9AD6B2B8"/>
    <w:lvl w:ilvl="0" w:tplc="56FEDAA4">
      <w:start w:val="1"/>
      <w:numFmt w:val="decimal"/>
      <w:lvlText w:val="(%1)"/>
      <w:lvlJc w:val="left"/>
      <w:pPr>
        <w:ind w:left="360" w:hanging="360"/>
      </w:pPr>
      <w:rPr>
        <w:rFonts w:hint="default"/>
      </w:rPr>
    </w:lvl>
    <w:lvl w:ilvl="1" w:tplc="EC1EC096">
      <w:start w:val="1"/>
      <w:numFmt w:val="low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8C0CB0"/>
    <w:multiLevelType w:val="multilevel"/>
    <w:tmpl w:val="EB12A02E"/>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87CCB"/>
    <w:multiLevelType w:val="multilevel"/>
    <w:tmpl w:val="B3DCB1A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422C"/>
    <w:multiLevelType w:val="multilevel"/>
    <w:tmpl w:val="B2645D1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BC38AC"/>
    <w:multiLevelType w:val="multilevel"/>
    <w:tmpl w:val="A452622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1B6EDB"/>
    <w:multiLevelType w:val="hybridMultilevel"/>
    <w:tmpl w:val="97FE5E90"/>
    <w:lvl w:ilvl="0" w:tplc="9C02A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B5F6E"/>
    <w:multiLevelType w:val="multilevel"/>
    <w:tmpl w:val="B4A6F7A0"/>
    <w:lvl w:ilvl="0">
      <w:start w:val="1"/>
      <w:numFmt w:val="lowerLetter"/>
      <w:lvlText w:val="%1."/>
      <w:lvlJc w:val="left"/>
      <w:pPr>
        <w:tabs>
          <w:tab w:val="left" w:pos="36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83610"/>
    <w:multiLevelType w:val="hybridMultilevel"/>
    <w:tmpl w:val="EBF4868A"/>
    <w:lvl w:ilvl="0" w:tplc="13E23A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D36934"/>
    <w:multiLevelType w:val="multilevel"/>
    <w:tmpl w:val="7940EE5A"/>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E20403"/>
    <w:multiLevelType w:val="multilevel"/>
    <w:tmpl w:val="1806ED48"/>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667AF9"/>
    <w:multiLevelType w:val="multilevel"/>
    <w:tmpl w:val="FFF0483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1558E8"/>
    <w:multiLevelType w:val="multilevel"/>
    <w:tmpl w:val="F86E496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797AAA"/>
    <w:multiLevelType w:val="multilevel"/>
    <w:tmpl w:val="53E60BE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9A5DD0"/>
    <w:multiLevelType w:val="multilevel"/>
    <w:tmpl w:val="6C58F03A"/>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8166CE"/>
    <w:multiLevelType w:val="multilevel"/>
    <w:tmpl w:val="5B7E5F48"/>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A66EE7"/>
    <w:multiLevelType w:val="multilevel"/>
    <w:tmpl w:val="82D2125E"/>
    <w:lvl w:ilvl="0">
      <w:start w:val="1"/>
      <w:numFmt w:val="decimal"/>
      <w:lvlText w:val="%1."/>
      <w:lvlJc w:val="left"/>
      <w:pPr>
        <w:tabs>
          <w:tab w:val="left" w:pos="-108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5C0222"/>
    <w:multiLevelType w:val="multilevel"/>
    <w:tmpl w:val="F7B462F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432191"/>
    <w:multiLevelType w:val="multilevel"/>
    <w:tmpl w:val="F014C3C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1"/>
  </w:num>
  <w:num w:numId="4">
    <w:abstractNumId w:val="8"/>
  </w:num>
  <w:num w:numId="5">
    <w:abstractNumId w:val="14"/>
  </w:num>
  <w:num w:numId="6">
    <w:abstractNumId w:val="5"/>
  </w:num>
  <w:num w:numId="7">
    <w:abstractNumId w:val="37"/>
  </w:num>
  <w:num w:numId="8">
    <w:abstractNumId w:val="43"/>
  </w:num>
  <w:num w:numId="9">
    <w:abstractNumId w:val="40"/>
  </w:num>
  <w:num w:numId="10">
    <w:abstractNumId w:val="35"/>
  </w:num>
  <w:num w:numId="11">
    <w:abstractNumId w:val="16"/>
  </w:num>
  <w:num w:numId="12">
    <w:abstractNumId w:val="12"/>
  </w:num>
  <w:num w:numId="13">
    <w:abstractNumId w:val="36"/>
  </w:num>
  <w:num w:numId="14">
    <w:abstractNumId w:val="30"/>
  </w:num>
  <w:num w:numId="15">
    <w:abstractNumId w:val="38"/>
  </w:num>
  <w:num w:numId="16">
    <w:abstractNumId w:val="28"/>
  </w:num>
  <w:num w:numId="17">
    <w:abstractNumId w:val="42"/>
  </w:num>
  <w:num w:numId="18">
    <w:abstractNumId w:val="13"/>
  </w:num>
  <w:num w:numId="19">
    <w:abstractNumId w:val="9"/>
  </w:num>
  <w:num w:numId="20">
    <w:abstractNumId w:val="0"/>
  </w:num>
  <w:num w:numId="21">
    <w:abstractNumId w:val="10"/>
  </w:num>
  <w:num w:numId="22">
    <w:abstractNumId w:val="20"/>
  </w:num>
  <w:num w:numId="23">
    <w:abstractNumId w:val="11"/>
  </w:num>
  <w:num w:numId="24">
    <w:abstractNumId w:val="27"/>
  </w:num>
  <w:num w:numId="25">
    <w:abstractNumId w:val="23"/>
  </w:num>
  <w:num w:numId="26">
    <w:abstractNumId w:val="34"/>
  </w:num>
  <w:num w:numId="27">
    <w:abstractNumId w:val="24"/>
  </w:num>
  <w:num w:numId="28">
    <w:abstractNumId w:val="39"/>
  </w:num>
  <w:num w:numId="29">
    <w:abstractNumId w:val="17"/>
  </w:num>
  <w:num w:numId="30">
    <w:abstractNumId w:val="32"/>
  </w:num>
  <w:num w:numId="31">
    <w:abstractNumId w:val="19"/>
  </w:num>
  <w:num w:numId="32">
    <w:abstractNumId w:val="21"/>
  </w:num>
  <w:num w:numId="33">
    <w:abstractNumId w:val="7"/>
  </w:num>
  <w:num w:numId="34">
    <w:abstractNumId w:val="25"/>
  </w:num>
  <w:num w:numId="35">
    <w:abstractNumId w:val="2"/>
  </w:num>
  <w:num w:numId="36">
    <w:abstractNumId w:val="6"/>
  </w:num>
  <w:num w:numId="37">
    <w:abstractNumId w:val="26"/>
  </w:num>
  <w:num w:numId="38">
    <w:abstractNumId w:val="31"/>
  </w:num>
  <w:num w:numId="39">
    <w:abstractNumId w:val="15"/>
  </w:num>
  <w:num w:numId="40">
    <w:abstractNumId w:val="22"/>
  </w:num>
  <w:num w:numId="41">
    <w:abstractNumId w:val="33"/>
  </w:num>
  <w:num w:numId="42">
    <w:abstractNumId w:val="4"/>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3"/>
    <w:rsid w:val="000112BF"/>
    <w:rsid w:val="0001158A"/>
    <w:rsid w:val="00032544"/>
    <w:rsid w:val="00052A3F"/>
    <w:rsid w:val="00053853"/>
    <w:rsid w:val="00087F0A"/>
    <w:rsid w:val="000A1109"/>
    <w:rsid w:val="000A1A71"/>
    <w:rsid w:val="000B2499"/>
    <w:rsid w:val="000C0805"/>
    <w:rsid w:val="001160D7"/>
    <w:rsid w:val="00152766"/>
    <w:rsid w:val="00162998"/>
    <w:rsid w:val="00175F1E"/>
    <w:rsid w:val="001805AE"/>
    <w:rsid w:val="001827B8"/>
    <w:rsid w:val="001B4105"/>
    <w:rsid w:val="001C41B4"/>
    <w:rsid w:val="001E5447"/>
    <w:rsid w:val="00200E8A"/>
    <w:rsid w:val="00252112"/>
    <w:rsid w:val="00287E73"/>
    <w:rsid w:val="002A065A"/>
    <w:rsid w:val="002A3623"/>
    <w:rsid w:val="002A4FA1"/>
    <w:rsid w:val="002C1C0C"/>
    <w:rsid w:val="002C4140"/>
    <w:rsid w:val="00365055"/>
    <w:rsid w:val="00371B70"/>
    <w:rsid w:val="00380F64"/>
    <w:rsid w:val="003A7286"/>
    <w:rsid w:val="003B422E"/>
    <w:rsid w:val="003B59C5"/>
    <w:rsid w:val="003D2BDF"/>
    <w:rsid w:val="004103AB"/>
    <w:rsid w:val="00421EA8"/>
    <w:rsid w:val="0042355B"/>
    <w:rsid w:val="00462D90"/>
    <w:rsid w:val="0048155B"/>
    <w:rsid w:val="0048636F"/>
    <w:rsid w:val="0049228D"/>
    <w:rsid w:val="004939BA"/>
    <w:rsid w:val="004A1057"/>
    <w:rsid w:val="004A4C8E"/>
    <w:rsid w:val="004D4828"/>
    <w:rsid w:val="004D503C"/>
    <w:rsid w:val="004D6527"/>
    <w:rsid w:val="005221B5"/>
    <w:rsid w:val="0053092D"/>
    <w:rsid w:val="005439B1"/>
    <w:rsid w:val="00545234"/>
    <w:rsid w:val="00560C7B"/>
    <w:rsid w:val="00591FBF"/>
    <w:rsid w:val="005922C6"/>
    <w:rsid w:val="00593A47"/>
    <w:rsid w:val="00595FAA"/>
    <w:rsid w:val="00597A5D"/>
    <w:rsid w:val="005F1CF3"/>
    <w:rsid w:val="005F3C1F"/>
    <w:rsid w:val="00607C76"/>
    <w:rsid w:val="00612CC7"/>
    <w:rsid w:val="0062300D"/>
    <w:rsid w:val="00627DD5"/>
    <w:rsid w:val="00643E29"/>
    <w:rsid w:val="0065084E"/>
    <w:rsid w:val="00657C0A"/>
    <w:rsid w:val="006B1942"/>
    <w:rsid w:val="006B5E9D"/>
    <w:rsid w:val="006F67A3"/>
    <w:rsid w:val="007116FB"/>
    <w:rsid w:val="007248F0"/>
    <w:rsid w:val="00732686"/>
    <w:rsid w:val="00745A4C"/>
    <w:rsid w:val="00747216"/>
    <w:rsid w:val="00770DD7"/>
    <w:rsid w:val="0078346E"/>
    <w:rsid w:val="007842CB"/>
    <w:rsid w:val="007A0EEE"/>
    <w:rsid w:val="007C21F1"/>
    <w:rsid w:val="0080044A"/>
    <w:rsid w:val="008277FB"/>
    <w:rsid w:val="00856B03"/>
    <w:rsid w:val="00860257"/>
    <w:rsid w:val="00860CF0"/>
    <w:rsid w:val="008B1809"/>
    <w:rsid w:val="008C2C21"/>
    <w:rsid w:val="008D1F9E"/>
    <w:rsid w:val="00955BC6"/>
    <w:rsid w:val="00960E9A"/>
    <w:rsid w:val="00966361"/>
    <w:rsid w:val="0097501B"/>
    <w:rsid w:val="009E05C0"/>
    <w:rsid w:val="009E0AA4"/>
    <w:rsid w:val="00A353E7"/>
    <w:rsid w:val="00A449AE"/>
    <w:rsid w:val="00A51FA9"/>
    <w:rsid w:val="00A541FB"/>
    <w:rsid w:val="00A556A6"/>
    <w:rsid w:val="00A559FA"/>
    <w:rsid w:val="00A56ADF"/>
    <w:rsid w:val="00A761A6"/>
    <w:rsid w:val="00AB7B1E"/>
    <w:rsid w:val="00AD5A3C"/>
    <w:rsid w:val="00AF2A6A"/>
    <w:rsid w:val="00AF64B4"/>
    <w:rsid w:val="00B137F9"/>
    <w:rsid w:val="00B139DE"/>
    <w:rsid w:val="00B14336"/>
    <w:rsid w:val="00B25512"/>
    <w:rsid w:val="00B37E4C"/>
    <w:rsid w:val="00B6551B"/>
    <w:rsid w:val="00B95C3E"/>
    <w:rsid w:val="00BD6734"/>
    <w:rsid w:val="00C1773C"/>
    <w:rsid w:val="00C343D7"/>
    <w:rsid w:val="00C4015C"/>
    <w:rsid w:val="00C55C64"/>
    <w:rsid w:val="00C70A2D"/>
    <w:rsid w:val="00C75D78"/>
    <w:rsid w:val="00C81870"/>
    <w:rsid w:val="00C82550"/>
    <w:rsid w:val="00CA670F"/>
    <w:rsid w:val="00CB1459"/>
    <w:rsid w:val="00CB2835"/>
    <w:rsid w:val="00CD7044"/>
    <w:rsid w:val="00CE3821"/>
    <w:rsid w:val="00CF0280"/>
    <w:rsid w:val="00D158E6"/>
    <w:rsid w:val="00D234ED"/>
    <w:rsid w:val="00D2585C"/>
    <w:rsid w:val="00D371C2"/>
    <w:rsid w:val="00D37BB7"/>
    <w:rsid w:val="00D50AD6"/>
    <w:rsid w:val="00D805B7"/>
    <w:rsid w:val="00DA5278"/>
    <w:rsid w:val="00DB4960"/>
    <w:rsid w:val="00DB7DFE"/>
    <w:rsid w:val="00DC726F"/>
    <w:rsid w:val="00DD3FE7"/>
    <w:rsid w:val="00DE1746"/>
    <w:rsid w:val="00DF3C8C"/>
    <w:rsid w:val="00E00327"/>
    <w:rsid w:val="00E051AC"/>
    <w:rsid w:val="00E276C0"/>
    <w:rsid w:val="00E3432E"/>
    <w:rsid w:val="00E454EE"/>
    <w:rsid w:val="00E45931"/>
    <w:rsid w:val="00E5178A"/>
    <w:rsid w:val="00E678A0"/>
    <w:rsid w:val="00EA2F7E"/>
    <w:rsid w:val="00EA4B2C"/>
    <w:rsid w:val="00EB288E"/>
    <w:rsid w:val="00EB41BE"/>
    <w:rsid w:val="00EF3446"/>
    <w:rsid w:val="00EF595B"/>
    <w:rsid w:val="00F05436"/>
    <w:rsid w:val="00F06FB3"/>
    <w:rsid w:val="00F07A25"/>
    <w:rsid w:val="00F12037"/>
    <w:rsid w:val="00F12E46"/>
    <w:rsid w:val="00F31FAD"/>
    <w:rsid w:val="00F70BFF"/>
    <w:rsid w:val="00F716E5"/>
    <w:rsid w:val="00F74429"/>
    <w:rsid w:val="00FD38DA"/>
    <w:rsid w:val="00FF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3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436"/>
    <w:pPr>
      <w:ind w:left="720"/>
      <w:contextualSpacing/>
    </w:pPr>
  </w:style>
  <w:style w:type="paragraph" w:styleId="FootnoteText">
    <w:name w:val="footnote text"/>
    <w:basedOn w:val="Normal"/>
    <w:link w:val="FootnoteTextChar"/>
    <w:uiPriority w:val="99"/>
    <w:unhideWhenUsed/>
    <w:rsid w:val="00CF0280"/>
    <w:rPr>
      <w:sz w:val="20"/>
      <w:szCs w:val="20"/>
    </w:rPr>
  </w:style>
  <w:style w:type="character" w:customStyle="1" w:styleId="FootnoteTextChar">
    <w:name w:val="Footnote Text Char"/>
    <w:basedOn w:val="DefaultParagraphFont"/>
    <w:link w:val="FootnoteText"/>
    <w:uiPriority w:val="99"/>
    <w:rsid w:val="00CF0280"/>
    <w:rPr>
      <w:sz w:val="20"/>
      <w:szCs w:val="20"/>
    </w:rPr>
  </w:style>
  <w:style w:type="character" w:styleId="FootnoteReference">
    <w:name w:val="footnote reference"/>
    <w:basedOn w:val="DefaultParagraphFont"/>
    <w:uiPriority w:val="99"/>
    <w:semiHidden/>
    <w:unhideWhenUsed/>
    <w:rsid w:val="00CF0280"/>
    <w:rPr>
      <w:vertAlign w:val="superscript"/>
    </w:rPr>
  </w:style>
  <w:style w:type="character" w:styleId="Hyperlink">
    <w:name w:val="Hyperlink"/>
    <w:basedOn w:val="DefaultParagraphFont"/>
    <w:uiPriority w:val="99"/>
    <w:unhideWhenUsed/>
    <w:rsid w:val="00CF0280"/>
    <w:rPr>
      <w:color w:val="0000FF"/>
      <w:u w:val="single"/>
    </w:rPr>
  </w:style>
  <w:style w:type="paragraph" w:styleId="BalloonText">
    <w:name w:val="Balloon Text"/>
    <w:basedOn w:val="Normal"/>
    <w:link w:val="BalloonTextChar"/>
    <w:uiPriority w:val="99"/>
    <w:semiHidden/>
    <w:unhideWhenUsed/>
    <w:rsid w:val="00F06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B3"/>
    <w:rPr>
      <w:rFonts w:ascii="Segoe UI" w:hAnsi="Segoe UI" w:cs="Segoe UI"/>
      <w:sz w:val="18"/>
      <w:szCs w:val="18"/>
    </w:rPr>
  </w:style>
  <w:style w:type="character" w:styleId="CommentReference">
    <w:name w:val="annotation reference"/>
    <w:basedOn w:val="DefaultParagraphFont"/>
    <w:uiPriority w:val="99"/>
    <w:unhideWhenUsed/>
    <w:rsid w:val="00F06FB3"/>
    <w:rPr>
      <w:sz w:val="16"/>
      <w:szCs w:val="16"/>
    </w:rPr>
  </w:style>
  <w:style w:type="paragraph" w:styleId="CommentText">
    <w:name w:val="annotation text"/>
    <w:basedOn w:val="Normal"/>
    <w:link w:val="CommentTextChar"/>
    <w:uiPriority w:val="99"/>
    <w:unhideWhenUsed/>
    <w:rsid w:val="00F06FB3"/>
    <w:rPr>
      <w:sz w:val="20"/>
      <w:szCs w:val="20"/>
    </w:rPr>
  </w:style>
  <w:style w:type="character" w:customStyle="1" w:styleId="CommentTextChar">
    <w:name w:val="Comment Text Char"/>
    <w:basedOn w:val="DefaultParagraphFont"/>
    <w:link w:val="CommentText"/>
    <w:uiPriority w:val="99"/>
    <w:rsid w:val="00F06FB3"/>
    <w:rPr>
      <w:sz w:val="20"/>
      <w:szCs w:val="20"/>
    </w:rPr>
  </w:style>
  <w:style w:type="paragraph" w:styleId="CommentSubject">
    <w:name w:val="annotation subject"/>
    <w:basedOn w:val="CommentText"/>
    <w:next w:val="CommentText"/>
    <w:link w:val="CommentSubjectChar"/>
    <w:uiPriority w:val="99"/>
    <w:semiHidden/>
    <w:unhideWhenUsed/>
    <w:rsid w:val="00F06FB3"/>
    <w:rPr>
      <w:b/>
      <w:bCs/>
    </w:rPr>
  </w:style>
  <w:style w:type="character" w:customStyle="1" w:styleId="CommentSubjectChar">
    <w:name w:val="Comment Subject Char"/>
    <w:basedOn w:val="CommentTextChar"/>
    <w:link w:val="CommentSubject"/>
    <w:uiPriority w:val="99"/>
    <w:semiHidden/>
    <w:rsid w:val="00F06FB3"/>
    <w:rPr>
      <w:b/>
      <w:bCs/>
      <w:sz w:val="20"/>
      <w:szCs w:val="20"/>
    </w:rPr>
  </w:style>
  <w:style w:type="paragraph" w:styleId="Revision">
    <w:name w:val="Revision"/>
    <w:hidden/>
    <w:uiPriority w:val="99"/>
    <w:semiHidden/>
    <w:rsid w:val="007C21F1"/>
  </w:style>
  <w:style w:type="paragraph" w:styleId="Header">
    <w:name w:val="header"/>
    <w:basedOn w:val="Normal"/>
    <w:link w:val="HeaderChar"/>
    <w:uiPriority w:val="99"/>
    <w:unhideWhenUsed/>
    <w:rsid w:val="000A1A71"/>
    <w:pPr>
      <w:tabs>
        <w:tab w:val="center" w:pos="4680"/>
        <w:tab w:val="right" w:pos="9360"/>
      </w:tabs>
    </w:pPr>
  </w:style>
  <w:style w:type="character" w:customStyle="1" w:styleId="HeaderChar">
    <w:name w:val="Header Char"/>
    <w:basedOn w:val="DefaultParagraphFont"/>
    <w:link w:val="Header"/>
    <w:uiPriority w:val="99"/>
    <w:rsid w:val="000A1A71"/>
  </w:style>
  <w:style w:type="paragraph" w:styleId="Footer">
    <w:name w:val="footer"/>
    <w:basedOn w:val="Normal"/>
    <w:link w:val="FooterChar"/>
    <w:uiPriority w:val="99"/>
    <w:unhideWhenUsed/>
    <w:rsid w:val="000A1A71"/>
    <w:pPr>
      <w:tabs>
        <w:tab w:val="center" w:pos="4680"/>
        <w:tab w:val="right" w:pos="9360"/>
      </w:tabs>
    </w:pPr>
  </w:style>
  <w:style w:type="character" w:customStyle="1" w:styleId="FooterChar">
    <w:name w:val="Footer Char"/>
    <w:basedOn w:val="DefaultParagraphFont"/>
    <w:link w:val="Footer"/>
    <w:uiPriority w:val="99"/>
    <w:rsid w:val="000A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8013">
      <w:bodyDiv w:val="1"/>
      <w:marLeft w:val="0"/>
      <w:marRight w:val="0"/>
      <w:marTop w:val="0"/>
      <w:marBottom w:val="0"/>
      <w:divBdr>
        <w:top w:val="none" w:sz="0" w:space="0" w:color="auto"/>
        <w:left w:val="none" w:sz="0" w:space="0" w:color="auto"/>
        <w:bottom w:val="none" w:sz="0" w:space="0" w:color="auto"/>
        <w:right w:val="none" w:sz="0" w:space="0" w:color="auto"/>
      </w:divBdr>
    </w:div>
    <w:div w:id="985401599">
      <w:bodyDiv w:val="1"/>
      <w:marLeft w:val="0"/>
      <w:marRight w:val="0"/>
      <w:marTop w:val="0"/>
      <w:marBottom w:val="0"/>
      <w:divBdr>
        <w:top w:val="none" w:sz="0" w:space="0" w:color="auto"/>
        <w:left w:val="none" w:sz="0" w:space="0" w:color="auto"/>
        <w:bottom w:val="none" w:sz="0" w:space="0" w:color="auto"/>
        <w:right w:val="none" w:sz="0" w:space="0" w:color="auto"/>
      </w:divBdr>
    </w:div>
    <w:div w:id="150879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TA@commerce.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7DE7-DEAA-49E5-AE4D-4CFD7347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6091</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2020-08-13T00:29:00Z</dcterms:created>
  <dcterms:modified xsi:type="dcterms:W3CDTF">2020-08-13T00:36:00Z</dcterms:modified>
</cp:coreProperties>
</file>