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1E7" w:rsidRDefault="0051699D" w:rsidP="00706D60">
      <w:r>
        <w:rPr>
          <w:noProof/>
        </w:rPr>
        <mc:AlternateContent>
          <mc:Choice Requires="wps">
            <w:drawing>
              <wp:anchor distT="0" distB="0" distL="114300" distR="114300" simplePos="0" relativeHeight="251677696" behindDoc="0" locked="0" layoutInCell="1" allowOverlap="1" wp14:anchorId="6A788433" wp14:editId="3B9EC2AD">
                <wp:simplePos x="0" y="0"/>
                <wp:positionH relativeFrom="page">
                  <wp:align>right</wp:align>
                </wp:positionH>
                <wp:positionV relativeFrom="paragraph">
                  <wp:posOffset>-895350</wp:posOffset>
                </wp:positionV>
                <wp:extent cx="7753350" cy="9568815"/>
                <wp:effectExtent l="0" t="0" r="19050" b="133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956881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0212" id="Rectangle 5" o:spid="_x0000_s1026" style="position:absolute;margin-left:559.3pt;margin-top:-70.5pt;width:610.5pt;height:753.4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" filled="f" strokecolor="#2f5496 [2404]" strokeweight="1pt">
                <w10:wrap anchorx="page"/>
              </v:rect>
            </w:pict>
          </mc:Fallback>
        </mc:AlternateContent>
      </w:r>
      <w:r w:rsidR="004022AA" w:rsidRPr="004022AA">
        <w:drawing>
          <wp:inline distT="0" distB="0" distL="0" distR="0">
            <wp:extent cx="5143432" cy="3343275"/>
            <wp:effectExtent l="0" t="0" r="635" b="0"/>
            <wp:docPr id="3" name="Picture 3" descr="Open Enrollment Tips &amp; Strategies for Employe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Enrollment Tips &amp; Strategies for Employers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2269" cy="3375020"/>
                    </a:xfrm>
                    <a:prstGeom prst="rect">
                      <a:avLst/>
                    </a:prstGeom>
                    <a:noFill/>
                    <a:ln>
                      <a:noFill/>
                    </a:ln>
                  </pic:spPr>
                </pic:pic>
              </a:graphicData>
            </a:graphic>
          </wp:inline>
        </w:drawing>
      </w:r>
      <w:r w:rsidR="00E653C0">
        <w:rPr>
          <w:noProof/>
        </w:rPr>
        <w:drawing>
          <wp:anchor distT="0" distB="0" distL="114300" distR="114300" simplePos="0" relativeHeight="251654141" behindDoc="1" locked="0" layoutInCell="1" allowOverlap="1" wp14:anchorId="0FB813BF" wp14:editId="72DD5D5F">
            <wp:simplePos x="0" y="0"/>
            <wp:positionH relativeFrom="page">
              <wp:align>right</wp:align>
            </wp:positionH>
            <wp:positionV relativeFrom="paragraph">
              <wp:posOffset>-930350</wp:posOffset>
            </wp:positionV>
            <wp:extent cx="7775978" cy="10063030"/>
            <wp:effectExtent l="0" t="0" r="0" b="0"/>
            <wp:wrapNone/>
            <wp:docPr id="2" name="Picture 2" descr="Hands working on laptop computer, flower, teac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2">
                      <a:extLst>
                        <a:ext uri="{28A0092B-C50C-407E-A947-70E740481C1C}">
                          <a14:useLocalDpi xmlns:a14="http://schemas.microsoft.com/office/drawing/2010/main" val="0"/>
                        </a:ext>
                      </a:extLst>
                    </a:blip>
                    <a:stretch>
                      <a:fillRect/>
                    </a:stretch>
                  </pic:blipFill>
                  <pic:spPr>
                    <a:xfrm>
                      <a:off x="0" y="0"/>
                      <a:ext cx="7775978" cy="10063030"/>
                    </a:xfrm>
                    <a:prstGeom prst="rect">
                      <a:avLst/>
                    </a:prstGeom>
                  </pic:spPr>
                </pic:pic>
              </a:graphicData>
            </a:graphic>
            <wp14:sizeRelH relativeFrom="page">
              <wp14:pctWidth>0</wp14:pctWidth>
            </wp14:sizeRelH>
            <wp14:sizeRelV relativeFrom="page">
              <wp14:pctHeight>0</wp14:pctHeight>
            </wp14:sizeRelV>
          </wp:anchor>
        </w:drawing>
      </w:r>
    </w:p>
    <w:p w:rsidR="002B5D98" w:rsidRDefault="002B5D98" w:rsidP="002B5D98"/>
    <w:p w:rsidR="002B5D98" w:rsidRDefault="002B5D98" w:rsidP="002B5D98"/>
    <w:p w:rsidR="002B5D98" w:rsidRDefault="002B5D98" w:rsidP="002B5D98"/>
    <w:p w:rsidR="002B5D98" w:rsidRDefault="002B5D98" w:rsidP="002B5D98"/>
    <w:p w:rsidR="002B5D98" w:rsidRPr="002B5D98" w:rsidRDefault="002B5D98" w:rsidP="002B5D98">
      <w:pPr>
        <w:pStyle w:val="Title"/>
      </w:pPr>
    </w:p>
    <w:p w:rsidR="002B5D98" w:rsidRDefault="002B5D98" w:rsidP="002B5D98"/>
    <w:p w:rsidR="002B5D98" w:rsidRDefault="002B5D98" w:rsidP="002B5D98"/>
    <w:p w:rsidR="002B5D98" w:rsidRDefault="002B5D98" w:rsidP="002B5D98"/>
    <w:p w:rsidR="002B5D98" w:rsidRDefault="002B5D98" w:rsidP="002B5D98"/>
    <w:p w:rsidR="002B5D98" w:rsidRDefault="002B5D98" w:rsidP="002B5D98"/>
    <w:p w:rsidR="002B5D98" w:rsidRDefault="002B5D98" w:rsidP="002B5D98"/>
    <w:p w:rsidR="002B5D98" w:rsidRDefault="002B5D98" w:rsidP="002B5D98"/>
    <w:p w:rsidR="002B5D98" w:rsidRDefault="002B5D98" w:rsidP="002B5D98"/>
    <w:p w:rsidR="002B5D98" w:rsidRDefault="002B5D98" w:rsidP="002B5D98"/>
    <w:p w:rsidR="002B5D98" w:rsidRPr="002B5D98" w:rsidRDefault="002B5D98" w:rsidP="002B5D98"/>
    <w:p w:rsidR="00710767" w:rsidRDefault="00710767" w:rsidP="002B5D98">
      <w:pPr>
        <w:pStyle w:val="Subtitle"/>
        <w:rPr>
          <w:sz w:val="32"/>
          <w:szCs w:val="32"/>
        </w:rPr>
      </w:pPr>
    </w:p>
    <w:p w:rsidR="00E96235" w:rsidRDefault="002974C8" w:rsidP="00706D60">
      <w:r>
        <w:br w:type="page"/>
      </w:r>
      <w:r w:rsidR="00C7287A">
        <w:lastRenderedPageBreak/>
        <w:softHyphen/>
      </w:r>
      <w:r w:rsidR="00C7287A">
        <w:softHyphen/>
      </w:r>
    </w:p>
    <w:p w:rsidR="00C85251" w:rsidRDefault="00E653C0" w:rsidP="00706D60">
      <w:r>
        <w:rPr>
          <w:noProof/>
        </w:rPr>
        <w:drawing>
          <wp:anchor distT="0" distB="0" distL="114300" distR="114300" simplePos="0" relativeHeight="251675648" behindDoc="1" locked="0" layoutInCell="1" allowOverlap="1" wp14:anchorId="62C8511E" wp14:editId="39DCDDB7">
            <wp:simplePos x="0" y="0"/>
            <wp:positionH relativeFrom="page">
              <wp:align>left</wp:align>
            </wp:positionH>
            <wp:positionV relativeFrom="paragraph">
              <wp:posOffset>-1150620</wp:posOffset>
            </wp:positionV>
            <wp:extent cx="7757678" cy="3869319"/>
            <wp:effectExtent l="0" t="0" r="0" b="0"/>
            <wp:wrapNone/>
            <wp:docPr id="13" name="Picture 13" descr="A laptop computer, notebook, mug, pen and plant arranged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7678" cy="3869319"/>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Pr>
          <w:noProof/>
        </w:rPr>
        <mc:AlternateContent>
          <mc:Choice Requires="wps">
            <w:drawing>
              <wp:anchor distT="0" distB="0" distL="114300" distR="114300" simplePos="0" relativeHeight="251661312" behindDoc="0" locked="0" layoutInCell="1" allowOverlap="1" wp14:anchorId="69328BF2" wp14:editId="4B8EEC4C">
                <wp:simplePos x="0" y="0"/>
                <wp:positionH relativeFrom="page">
                  <wp:posOffset>436245</wp:posOffset>
                </wp:positionH>
                <wp:positionV relativeFrom="paragraph">
                  <wp:posOffset>-448310</wp:posOffset>
                </wp:positionV>
                <wp:extent cx="6900921" cy="9121140"/>
                <wp:effectExtent l="0" t="0" r="14605" b="2286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A5741" id="Rectangle 12" o:spid="_x0000_s1026" style="position:absolute;margin-left:34.35pt;margin-top:-35.3pt;width:543.4pt;height:71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" filled="f" strokecolor="#2f5496 [2404]" strokeweight="1pt">
                <w10:wrap anchorx="page"/>
              </v:rect>
            </w:pict>
          </mc:Fallback>
        </mc:AlternateContent>
      </w:r>
    </w:p>
    <w:p w:rsidR="00C85251" w:rsidRDefault="00C85251" w:rsidP="00706D60"/>
    <w:p w:rsidR="00C85251" w:rsidRDefault="00C85251" w:rsidP="00706D60"/>
    <w:p w:rsidR="00C85251" w:rsidRDefault="00C85251" w:rsidP="00706D60"/>
    <w:p w:rsidR="00C85251" w:rsidRDefault="00C85251" w:rsidP="00706D60"/>
    <w:p w:rsidR="00C85251" w:rsidRDefault="00C85251" w:rsidP="00706D60"/>
    <w:p w:rsidR="00C85251" w:rsidRDefault="00C85251" w:rsidP="00706D60"/>
    <w:p w:rsidR="00706D60" w:rsidRDefault="00706D60" w:rsidP="00706D60"/>
    <w:p w:rsidR="00706D60" w:rsidRDefault="00706D60" w:rsidP="00706D60"/>
    <w:p w:rsidR="00706D60" w:rsidRDefault="00706D60" w:rsidP="00706D60"/>
    <w:p w:rsidR="004022AA" w:rsidRPr="002767DA" w:rsidRDefault="004022AA" w:rsidP="004022AA">
      <w:pPr>
        <w:pStyle w:val="Heading1"/>
        <w:rPr>
          <w:b/>
        </w:rPr>
      </w:pPr>
      <w:bookmarkStart w:id="0" w:name="_Toc11326579"/>
      <w:r w:rsidRPr="002767DA">
        <w:rPr>
          <w:b/>
        </w:rPr>
        <w:t>What's New for 2024?</w:t>
      </w:r>
    </w:p>
    <w:bookmarkEnd w:id="0"/>
    <w:p w:rsidR="00C85251" w:rsidRPr="00706D60" w:rsidRDefault="00C85251" w:rsidP="00706D60">
      <w:pPr>
        <w:pStyle w:val="Heading1"/>
      </w:pPr>
    </w:p>
    <w:p w:rsidR="001A70F2" w:rsidRPr="001A70F2" w:rsidRDefault="001A70F2" w:rsidP="00706D60"/>
    <w:p w:rsidR="004022AA" w:rsidRPr="002767DA" w:rsidRDefault="004022AA" w:rsidP="004022AA">
      <w:pPr>
        <w:rPr>
          <w:b/>
          <w:sz w:val="28"/>
          <w:szCs w:val="28"/>
        </w:rPr>
      </w:pPr>
      <w:r w:rsidRPr="002767DA">
        <w:rPr>
          <w:b/>
          <w:sz w:val="28"/>
          <w:szCs w:val="28"/>
        </w:rPr>
        <w:t>Beginning January 1, 2024, the following changes will be in effect:</w:t>
      </w:r>
    </w:p>
    <w:p w:rsidR="004022AA" w:rsidRPr="002767DA" w:rsidRDefault="004022AA" w:rsidP="004022AA">
      <w:pPr>
        <w:numPr>
          <w:ilvl w:val="0"/>
          <w:numId w:val="4"/>
        </w:numPr>
        <w:rPr>
          <w:b/>
          <w:sz w:val="28"/>
          <w:szCs w:val="28"/>
        </w:rPr>
      </w:pPr>
      <w:r w:rsidRPr="002767DA">
        <w:rPr>
          <w:b/>
          <w:sz w:val="28"/>
          <w:szCs w:val="28"/>
        </w:rPr>
        <w:t xml:space="preserve">A 6.15% premium rate increase for all BCBS Pelican and Magnolia </w:t>
      </w:r>
      <w:r w:rsidR="002767DA">
        <w:rPr>
          <w:b/>
          <w:sz w:val="28"/>
          <w:szCs w:val="28"/>
        </w:rPr>
        <w:t>H</w:t>
      </w:r>
      <w:r w:rsidRPr="002767DA">
        <w:rPr>
          <w:b/>
          <w:sz w:val="28"/>
          <w:szCs w:val="28"/>
        </w:rPr>
        <w:t xml:space="preserve">ealth </w:t>
      </w:r>
      <w:r w:rsidR="002767DA">
        <w:rPr>
          <w:b/>
          <w:sz w:val="28"/>
          <w:szCs w:val="28"/>
        </w:rPr>
        <w:t>P</w:t>
      </w:r>
      <w:r w:rsidRPr="002767DA">
        <w:rPr>
          <w:b/>
          <w:sz w:val="28"/>
          <w:szCs w:val="28"/>
        </w:rPr>
        <w:t>lans</w:t>
      </w:r>
    </w:p>
    <w:p w:rsidR="004022AA" w:rsidRPr="002767DA" w:rsidRDefault="004022AA" w:rsidP="004022AA">
      <w:pPr>
        <w:numPr>
          <w:ilvl w:val="0"/>
          <w:numId w:val="4"/>
        </w:numPr>
        <w:rPr>
          <w:b/>
          <w:sz w:val="28"/>
          <w:szCs w:val="28"/>
        </w:rPr>
      </w:pPr>
      <w:r w:rsidRPr="002767DA">
        <w:rPr>
          <w:b/>
          <w:sz w:val="28"/>
          <w:szCs w:val="28"/>
        </w:rPr>
        <w:t>The Vantage Health Plans will no longer be available.  Members enrolled in a Vantage health plan will have to select a new health plan for 2024.</w:t>
      </w:r>
    </w:p>
    <w:p w:rsidR="004022AA" w:rsidRPr="002767DA" w:rsidRDefault="004022AA" w:rsidP="004022AA">
      <w:pPr>
        <w:numPr>
          <w:ilvl w:val="0"/>
          <w:numId w:val="4"/>
        </w:numPr>
        <w:rPr>
          <w:b/>
          <w:sz w:val="28"/>
          <w:szCs w:val="28"/>
        </w:rPr>
      </w:pPr>
      <w:r w:rsidRPr="002767DA">
        <w:rPr>
          <w:b/>
          <w:sz w:val="28"/>
          <w:szCs w:val="28"/>
        </w:rPr>
        <w:t>Life Insurance premium rate increase will not exceed $3.00/$1000 for actives and retirees </w:t>
      </w:r>
    </w:p>
    <w:p w:rsidR="004022AA" w:rsidRPr="002767DA" w:rsidRDefault="004022AA" w:rsidP="004022AA">
      <w:pPr>
        <w:numPr>
          <w:ilvl w:val="0"/>
          <w:numId w:val="4"/>
        </w:numPr>
        <w:rPr>
          <w:b/>
          <w:sz w:val="28"/>
          <w:szCs w:val="28"/>
        </w:rPr>
      </w:pPr>
      <w:r w:rsidRPr="002767DA">
        <w:rPr>
          <w:b/>
          <w:sz w:val="28"/>
          <w:szCs w:val="28"/>
        </w:rPr>
        <w:t>New Flexible Spending Arrangement. OGB has selected a vendor and is in contract negotiations. Once OGB has a signed contract, information on the new FSA vendor will be sent to members.</w:t>
      </w:r>
    </w:p>
    <w:p w:rsidR="00D92464" w:rsidRPr="002767DA" w:rsidRDefault="00D92464" w:rsidP="004022AA">
      <w:pPr>
        <w:rPr>
          <w:b/>
          <w:sz w:val="28"/>
          <w:szCs w:val="28"/>
        </w:rPr>
      </w:pPr>
    </w:p>
    <w:p w:rsidR="001A70F2" w:rsidRDefault="001A70F2" w:rsidP="00706D60">
      <w:r>
        <w:br w:type="page"/>
      </w:r>
    </w:p>
    <w:p w:rsidR="00D92464" w:rsidRPr="002767DA" w:rsidRDefault="001A70F2" w:rsidP="00706D60">
      <w:pPr>
        <w:pStyle w:val="Heading1"/>
        <w:rPr>
          <w:b/>
        </w:rPr>
      </w:pPr>
      <w:bookmarkStart w:id="1" w:name="_Toc11326580"/>
      <w:r>
        <w:rPr>
          <w:noProof/>
        </w:rPr>
        <w:lastRenderedPageBreak/>
        <mc:AlternateContent>
          <mc:Choice Requires="wps">
            <w:drawing>
              <wp:anchor distT="0" distB="0" distL="114300" distR="114300" simplePos="0" relativeHeight="251664384" behindDoc="0" locked="0" layoutInCell="1" allowOverlap="1" wp14:anchorId="6824012D" wp14:editId="2E3C0CE0">
                <wp:simplePos x="0" y="0"/>
                <wp:positionH relativeFrom="page">
                  <wp:posOffset>434975</wp:posOffset>
                </wp:positionH>
                <wp:positionV relativeFrom="paragraph">
                  <wp:posOffset>-444500</wp:posOffset>
                </wp:positionV>
                <wp:extent cx="6900921" cy="9121140"/>
                <wp:effectExtent l="0" t="0" r="14605" b="2286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A782" id="Rectangle 14" o:spid="_x0000_s1026" style="position:absolute;margin-left:34.25pt;margin-top:-35pt;width:543.4pt;height:71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" filled="f" strokecolor="#2f5496 [2404]" strokeweight="1pt">
                <w10:wrap anchorx="page"/>
              </v:rect>
            </w:pict>
          </mc:Fallback>
        </mc:AlternateContent>
      </w:r>
      <w:r w:rsidR="004022AA" w:rsidRPr="004022AA">
        <w:br/>
      </w:r>
      <w:r w:rsidR="004022AA" w:rsidRPr="002767DA">
        <w:rPr>
          <w:b/>
        </w:rPr>
        <w:t>2024 ANNUAL ENROLLMENT</w:t>
      </w:r>
      <w:bookmarkEnd w:id="1"/>
    </w:p>
    <w:p w:rsidR="00E930ED" w:rsidRPr="002767DA" w:rsidRDefault="00E930ED" w:rsidP="00706D60">
      <w:pPr>
        <w:rPr>
          <w:b/>
        </w:rPr>
      </w:pPr>
    </w:p>
    <w:p w:rsidR="00E930ED" w:rsidRPr="002767DA" w:rsidRDefault="004022AA" w:rsidP="00706D60">
      <w:pPr>
        <w:rPr>
          <w:b/>
        </w:rPr>
      </w:pPr>
      <w:r w:rsidRPr="002767DA">
        <w:rPr>
          <w:b/>
        </w:rPr>
        <w:t>2024 annual enrollment begins October 1 and ends November 15, 2023. This is your opportunity to evaluate your health care needs and select a plan best suited to you and your eligible covered dependents. If you would like to remain in your current OGB health plan with the same covered dependents for the 2024 plan year, you do not need to anything EXCEPT update your HSA and/or FSA contributions as applicable. </w:t>
      </w:r>
      <w:r w:rsidRPr="002767DA">
        <w:rPr>
          <w:b/>
          <w:bCs/>
          <w:u w:val="single"/>
        </w:rPr>
        <w:t>Remember, members enrolled in the Pelican HSA775 and/or FSA options MUST update their contribution for 2024.</w:t>
      </w:r>
    </w:p>
    <w:p w:rsidR="00755B57" w:rsidRDefault="00755B57" w:rsidP="00706D60"/>
    <w:p w:rsidR="00755B57" w:rsidRDefault="00755B57" w:rsidP="00706D60"/>
    <w:p w:rsidR="00755B57" w:rsidRPr="002767DA" w:rsidRDefault="00755B57" w:rsidP="00706D60">
      <w:pPr>
        <w:rPr>
          <w:b/>
        </w:rPr>
      </w:pPr>
      <w:r w:rsidRPr="002767DA">
        <w:rPr>
          <w:b/>
        </w:rPr>
        <w:t xml:space="preserve">Join </w:t>
      </w:r>
      <w:r w:rsidRPr="002767DA">
        <w:rPr>
          <w:b/>
        </w:rPr>
        <w:t xml:space="preserve">OGB </w:t>
      </w:r>
      <w:r w:rsidRPr="002767DA">
        <w:rPr>
          <w:b/>
        </w:rPr>
        <w:t>at the meeting listed below to get details about your options. There are two classroom style presentations per day, each lasting about two hours. Interpreter for hearing-impaired members is available upon request.</w:t>
      </w:r>
    </w:p>
    <w:p w:rsidR="00755B57" w:rsidRDefault="00755B57" w:rsidP="00706D60"/>
    <w:p w:rsidR="00755B57" w:rsidRPr="002767DA" w:rsidRDefault="00755B57" w:rsidP="00706D60">
      <w:pPr>
        <w:rPr>
          <w:b/>
          <w:sz w:val="24"/>
          <w:szCs w:val="24"/>
        </w:rPr>
      </w:pPr>
      <w:r w:rsidRPr="0051699D">
        <w:rPr>
          <w:b/>
          <w:sz w:val="24"/>
          <w:szCs w:val="24"/>
        </w:rPr>
        <w:t xml:space="preserve">October </w:t>
      </w:r>
      <w:r w:rsidR="000C5F4F">
        <w:rPr>
          <w:b/>
          <w:sz w:val="24"/>
          <w:szCs w:val="24"/>
        </w:rPr>
        <w:t>24</w:t>
      </w:r>
      <w:r w:rsidRPr="0051699D">
        <w:rPr>
          <w:b/>
          <w:sz w:val="24"/>
          <w:szCs w:val="24"/>
        </w:rPr>
        <w:t xml:space="preserve"> University of New Orleans (University Center Ballroom) 2000 Lakeshore Drive, New Orleans, LA 70148 9:00 AM or 2:00 PM</w:t>
      </w:r>
    </w:p>
    <w:p w:rsidR="00755B57" w:rsidRDefault="00755B57" w:rsidP="00706D60"/>
    <w:p w:rsidR="00755B57" w:rsidRPr="00755B57" w:rsidRDefault="00755B57" w:rsidP="00755B57">
      <w:pPr>
        <w:keepNext/>
        <w:keepLines/>
        <w:spacing w:before="240" w:after="0"/>
        <w:outlineLvl w:val="0"/>
        <w:rPr>
          <w:rFonts w:ascii="Segoe UI" w:eastAsiaTheme="majorEastAsia" w:hAnsi="Segoe UI" w:cs="Segoe UI"/>
          <w:b/>
          <w:caps/>
          <w:color w:val="2F5496" w:themeColor="accent1" w:themeShade="BF"/>
          <w:sz w:val="40"/>
          <w:szCs w:val="40"/>
        </w:rPr>
      </w:pPr>
      <w:bookmarkStart w:id="2" w:name="_Toc11326581"/>
      <w:r w:rsidRPr="00755B57">
        <w:rPr>
          <w:rFonts w:ascii="Segoe UI" w:eastAsiaTheme="majorEastAsia" w:hAnsi="Segoe UI" w:cs="Segoe UI"/>
          <w:b/>
          <w:caps/>
          <w:color w:val="2F5496" w:themeColor="accent1" w:themeShade="BF"/>
          <w:sz w:val="40"/>
          <w:szCs w:val="40"/>
        </w:rPr>
        <w:t>Important Dates</w:t>
      </w:r>
      <w:bookmarkEnd w:id="2"/>
    </w:p>
    <w:p w:rsidR="00755B57" w:rsidRPr="00755B57" w:rsidRDefault="00755B57" w:rsidP="00755B57">
      <w:pPr>
        <w:keepNext/>
        <w:keepLines/>
        <w:spacing w:before="40" w:after="0"/>
        <w:outlineLvl w:val="1"/>
        <w:rPr>
          <w:rFonts w:asciiTheme="majorHAnsi" w:eastAsiaTheme="majorEastAsia" w:hAnsiTheme="majorHAnsi" w:cstheme="majorBidi"/>
          <w:color w:val="2F5496" w:themeColor="accent1" w:themeShade="BF"/>
          <w:sz w:val="26"/>
          <w:szCs w:val="26"/>
        </w:rPr>
        <w:sectPr w:rsidR="00755B57" w:rsidRPr="00755B57" w:rsidSect="00755B57">
          <w:footerReference w:type="default" r:id="rId14"/>
          <w:type w:val="continuous"/>
          <w:pgSz w:w="12240" w:h="15840"/>
          <w:pgMar w:top="1440" w:right="1440" w:bottom="1440" w:left="1440" w:header="720" w:footer="720" w:gutter="0"/>
          <w:cols w:space="720"/>
          <w:titlePg/>
          <w:docGrid w:linePitch="360"/>
        </w:sectPr>
      </w:pPr>
      <w:bookmarkStart w:id="3" w:name="_GoBack"/>
      <w:bookmarkEnd w:id="3"/>
    </w:p>
    <w:p w:rsidR="00755B57" w:rsidRPr="00755B57" w:rsidRDefault="00755B57" w:rsidP="00755B57">
      <w:pPr>
        <w:keepNext/>
        <w:keepLines/>
        <w:spacing w:before="40" w:after="0"/>
        <w:outlineLvl w:val="1"/>
        <w:rPr>
          <w:rFonts w:asciiTheme="majorHAnsi" w:eastAsiaTheme="majorEastAsia" w:hAnsiTheme="majorHAnsi" w:cstheme="majorBidi"/>
          <w:color w:val="2F5496" w:themeColor="accent1" w:themeShade="BF"/>
          <w:sz w:val="26"/>
          <w:szCs w:val="26"/>
        </w:rPr>
        <w:sectPr w:rsidR="00755B57" w:rsidRPr="00755B57" w:rsidSect="006512AE">
          <w:type w:val="continuous"/>
          <w:pgSz w:w="12240" w:h="15840"/>
          <w:pgMar w:top="1440" w:right="1440" w:bottom="1440" w:left="1440" w:header="720" w:footer="720" w:gutter="0"/>
          <w:cols w:num="3" w:space="720"/>
          <w:docGrid w:linePitch="360"/>
        </w:sectPr>
      </w:pPr>
    </w:p>
    <w:p w:rsidR="00755B57" w:rsidRPr="00755B57" w:rsidRDefault="00755B57" w:rsidP="00755B57">
      <w:pPr>
        <w:rPr>
          <w:b/>
        </w:rPr>
      </w:pPr>
      <w:bookmarkStart w:id="4" w:name="_Toc11326585"/>
      <w:r w:rsidRPr="00755B57">
        <w:t xml:space="preserve">• </w:t>
      </w:r>
      <w:r w:rsidRPr="00755B57">
        <w:rPr>
          <w:b/>
        </w:rPr>
        <w:t xml:space="preserve">October 1, 2023 – 2024 OGB annual enrollment begins </w:t>
      </w:r>
    </w:p>
    <w:p w:rsidR="00755B57" w:rsidRPr="00755B57" w:rsidRDefault="00755B57" w:rsidP="00755B57">
      <w:pPr>
        <w:rPr>
          <w:b/>
        </w:rPr>
      </w:pPr>
      <w:r w:rsidRPr="00755B57">
        <w:rPr>
          <w:b/>
        </w:rPr>
        <w:t xml:space="preserve">•October 15, 2023– 2024 Medicare Advantage Plan(s) enrollment begins </w:t>
      </w:r>
    </w:p>
    <w:p w:rsidR="00755B57" w:rsidRPr="00755B57" w:rsidRDefault="00755B57" w:rsidP="00755B57">
      <w:pPr>
        <w:rPr>
          <w:b/>
        </w:rPr>
      </w:pPr>
      <w:r w:rsidRPr="00755B57">
        <w:rPr>
          <w:b/>
        </w:rPr>
        <w:t xml:space="preserve">• November 15, 2023 – OGB annual enrollment ends </w:t>
      </w:r>
    </w:p>
    <w:p w:rsidR="00755B57" w:rsidRPr="00755B57" w:rsidRDefault="00755B57" w:rsidP="00755B57">
      <w:pPr>
        <w:rPr>
          <w:b/>
        </w:rPr>
      </w:pPr>
      <w:r w:rsidRPr="00755B57">
        <w:rPr>
          <w:b/>
        </w:rPr>
        <w:t xml:space="preserve">• December 7, 2023 – Medicare Advantage Plan(s) enrollment ends </w:t>
      </w:r>
    </w:p>
    <w:p w:rsidR="00755B57" w:rsidRPr="00755B57" w:rsidRDefault="00755B57" w:rsidP="00755B57">
      <w:pPr>
        <w:rPr>
          <w:b/>
        </w:rPr>
      </w:pPr>
      <w:r w:rsidRPr="00755B57">
        <w:rPr>
          <w:b/>
        </w:rPr>
        <w:t>• January 1, 2024 –New plan year begins</w:t>
      </w:r>
      <w:bookmarkEnd w:id="4"/>
    </w:p>
    <w:p w:rsidR="00EC5E75" w:rsidRDefault="00EC5E75" w:rsidP="00706D60"/>
    <w:p w:rsidR="00106254" w:rsidRPr="00106254" w:rsidRDefault="00106254" w:rsidP="00706D60">
      <w:pPr>
        <w:rPr>
          <w:b/>
        </w:rPr>
      </w:pPr>
      <w:r w:rsidRPr="00106254">
        <w:rPr>
          <w:b/>
        </w:rPr>
        <w:t>More information on your health plan options, flexible spending arrangements, wellness programs and life insurance can be found on the OGB website</w:t>
      </w:r>
      <w:r>
        <w:rPr>
          <w:b/>
        </w:rPr>
        <w:t>s:</w:t>
      </w:r>
    </w:p>
    <w:p w:rsidR="00106254" w:rsidRPr="00106254" w:rsidRDefault="00106254" w:rsidP="00706D60">
      <w:pPr>
        <w:rPr>
          <w:sz w:val="24"/>
          <w:szCs w:val="24"/>
          <w:u w:val="single"/>
        </w:rPr>
      </w:pPr>
      <w:r w:rsidRPr="00106254">
        <w:rPr>
          <w:color w:val="FFFFFF" w:themeColor="background1"/>
          <w:sz w:val="24"/>
          <w:szCs w:val="24"/>
        </w:rPr>
        <w:t xml:space="preserve"> </w:t>
      </w:r>
      <w:r w:rsidRPr="00106254">
        <w:rPr>
          <w:sz w:val="24"/>
          <w:szCs w:val="24"/>
          <w:u w:val="single"/>
        </w:rPr>
        <w:t>www.</w:t>
      </w:r>
      <w:r w:rsidRPr="00106254">
        <w:rPr>
          <w:sz w:val="24"/>
          <w:szCs w:val="24"/>
          <w:u w:val="single"/>
        </w:rPr>
        <w:t>info.groupbenefits.org</w:t>
      </w:r>
    </w:p>
    <w:p w:rsidR="00106254" w:rsidRPr="00106254" w:rsidRDefault="00106254" w:rsidP="00706D60">
      <w:pPr>
        <w:rPr>
          <w:sz w:val="24"/>
          <w:szCs w:val="24"/>
          <w:u w:val="single"/>
        </w:rPr>
      </w:pPr>
      <w:r w:rsidRPr="00106254">
        <w:rPr>
          <w:sz w:val="24"/>
          <w:szCs w:val="24"/>
          <w:u w:val="single"/>
        </w:rPr>
        <w:t>www.annualenrollment.groupbenefits.org</w:t>
      </w:r>
    </w:p>
    <w:p w:rsidR="00D92464" w:rsidRDefault="00106254" w:rsidP="00706D60">
      <w:r w:rsidRPr="00106254">
        <w:rPr>
          <w:sz w:val="24"/>
          <w:szCs w:val="24"/>
          <w:u w:val="single"/>
        </w:rPr>
        <w:t>www.enroll.groupbenefits.org</w:t>
      </w:r>
      <w:r w:rsidR="00D92464">
        <w:br w:type="page"/>
      </w:r>
    </w:p>
    <w:p w:rsidR="00165112" w:rsidRDefault="00165112" w:rsidP="00706D60">
      <w:pPr>
        <w:pStyle w:val="Heading1"/>
        <w:sectPr w:rsidR="00165112" w:rsidSect="00165112">
          <w:footerReference w:type="default" r:id="rId15"/>
          <w:type w:val="continuous"/>
          <w:pgSz w:w="12240" w:h="15840"/>
          <w:pgMar w:top="1440" w:right="1440" w:bottom="1440" w:left="1440" w:header="720" w:footer="720" w:gutter="0"/>
          <w:cols w:space="720"/>
          <w:docGrid w:linePitch="360"/>
        </w:sectPr>
      </w:pPr>
    </w:p>
    <w:p w:rsidR="004022AA" w:rsidRDefault="00165112" w:rsidP="00706D60">
      <w:pPr>
        <w:pStyle w:val="Heading1"/>
        <w:rPr>
          <w:noProof/>
          <w:sz w:val="36"/>
        </w:rPr>
      </w:pPr>
      <w:bookmarkStart w:id="5" w:name="_Toc11326586"/>
      <w:r w:rsidRPr="006512AE">
        <w:rPr>
          <w:noProof/>
        </w:rPr>
        <w:lastRenderedPageBreak/>
        <mc:AlternateContent>
          <mc:Choice Requires="wps">
            <w:drawing>
              <wp:anchor distT="0" distB="0" distL="114300" distR="114300" simplePos="0" relativeHeight="251669504" behindDoc="0" locked="0" layoutInCell="1" allowOverlap="1" wp14:anchorId="729AA6F6" wp14:editId="5168E12E">
                <wp:simplePos x="0" y="0"/>
                <wp:positionH relativeFrom="page">
                  <wp:posOffset>433705</wp:posOffset>
                </wp:positionH>
                <wp:positionV relativeFrom="paragraph">
                  <wp:posOffset>-444500</wp:posOffset>
                </wp:positionV>
                <wp:extent cx="6900921" cy="9121140"/>
                <wp:effectExtent l="0" t="0" r="14605" b="228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D725" id="Rectangle 30" o:spid="_x0000_s1026" style="position:absolute;margin-left:34.15pt;margin-top:-35pt;width:543.4pt;height:71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" filled="f" strokecolor="#2f5496 [2404]" strokeweight="1pt">
                <w10:wrap anchorx="page"/>
              </v:rect>
            </w:pict>
          </mc:Fallback>
        </mc:AlternateContent>
      </w:r>
      <w:r w:rsidR="004022AA">
        <w:rPr>
          <w:noProof/>
          <w:sz w:val="36"/>
        </w:rPr>
        <w:drawing>
          <wp:inline distT="0" distB="0" distL="0" distR="0" wp14:anchorId="7D056A69">
            <wp:extent cx="6196330" cy="346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3956" cy="3513416"/>
                    </a:xfrm>
                    <a:prstGeom prst="rect">
                      <a:avLst/>
                    </a:prstGeom>
                    <a:noFill/>
                  </pic:spPr>
                </pic:pic>
              </a:graphicData>
            </a:graphic>
          </wp:inline>
        </w:drawing>
      </w:r>
    </w:p>
    <w:p w:rsidR="00755B57" w:rsidRPr="002767DA" w:rsidRDefault="00755B57" w:rsidP="00755B57">
      <w:pPr>
        <w:pStyle w:val="Heading1"/>
        <w:rPr>
          <w:b/>
        </w:rPr>
      </w:pPr>
      <w:r w:rsidRPr="002767DA">
        <w:rPr>
          <w:b/>
        </w:rPr>
        <w:t>ENROLL NOW!</w:t>
      </w:r>
    </w:p>
    <w:bookmarkEnd w:id="5"/>
    <w:p w:rsidR="0051699D" w:rsidRDefault="0051699D" w:rsidP="002767DA">
      <w:pPr>
        <w:spacing w:line="480" w:lineRule="auto"/>
        <w:rPr>
          <w:rFonts w:ascii="Segoe UI" w:eastAsiaTheme="majorEastAsia" w:hAnsi="Segoe UI" w:cs="Segoe UI"/>
          <w:caps/>
          <w:color w:val="2F5496" w:themeColor="accent1" w:themeShade="BF"/>
          <w:sz w:val="40"/>
          <w:szCs w:val="40"/>
        </w:rPr>
      </w:pPr>
    </w:p>
    <w:p w:rsidR="00576B76" w:rsidRPr="0051699D" w:rsidRDefault="00755B57" w:rsidP="002767DA">
      <w:pPr>
        <w:spacing w:line="480" w:lineRule="auto"/>
        <w:rPr>
          <w:b/>
          <w:sz w:val="18"/>
          <w:szCs w:val="18"/>
        </w:rPr>
      </w:pPr>
      <w:r w:rsidRPr="0051699D">
        <w:rPr>
          <w:rFonts w:ascii="Arial" w:hAnsi="Arial" w:cs="Arial"/>
          <w:b/>
          <w:color w:val="000000"/>
          <w:sz w:val="18"/>
          <w:szCs w:val="18"/>
          <w:shd w:val="clear" w:color="auto" w:fill="FFFFFF"/>
        </w:rPr>
        <w:t>Open Enrollment is your annual opportunity to review your current benefit elections and make any necessary changes. If you are satisfied with your current benefits and have no new dependents to add, take advantage of this Annual Benefits Enrollment period to review your benefit elections for accuracy and update your designated beneficiaries. If no changes are made, all elections except enrollments for Flexible Spending Accounts will carry over to the 2023 plan year; however, the costs will reflect the 2023 premium amounts.</w:t>
      </w:r>
    </w:p>
    <w:p w:rsidR="00755B57" w:rsidRDefault="00755B57" w:rsidP="00755B57">
      <w:pPr>
        <w:pStyle w:val="ListBullet"/>
        <w:numPr>
          <w:ilvl w:val="0"/>
          <w:numId w:val="0"/>
        </w:numPr>
        <w:ind w:left="360"/>
        <w:rPr>
          <w:rFonts w:ascii="Source Sans Pro" w:hAnsi="Source Sans Pro"/>
          <w:color w:val="000000"/>
          <w:sz w:val="28"/>
          <w:szCs w:val="28"/>
          <w:shd w:val="clear" w:color="auto" w:fill="FFFFFF"/>
        </w:rPr>
      </w:pPr>
    </w:p>
    <w:p w:rsidR="00873804" w:rsidRPr="00106254" w:rsidRDefault="00755B57" w:rsidP="00106254">
      <w:pPr>
        <w:pStyle w:val="ListBullet"/>
        <w:numPr>
          <w:ilvl w:val="0"/>
          <w:numId w:val="0"/>
        </w:numPr>
        <w:rPr>
          <w:b/>
          <w:color w:val="FFFFFF" w:themeColor="background1"/>
          <w:sz w:val="28"/>
          <w:szCs w:val="28"/>
        </w:rPr>
      </w:pPr>
      <w:r w:rsidRPr="00106254">
        <w:rPr>
          <w:rFonts w:ascii="Source Sans Pro" w:hAnsi="Source Sans Pro"/>
          <w:b/>
          <w:color w:val="FFFFFF" w:themeColor="background1"/>
          <w:sz w:val="28"/>
          <w:szCs w:val="28"/>
          <w:highlight w:val="darkBlue"/>
          <w:shd w:val="clear" w:color="auto" w:fill="FFFFFF"/>
        </w:rPr>
        <w:t>Enrollment is open from October 1</w:t>
      </w:r>
      <w:r w:rsidRPr="00106254">
        <w:rPr>
          <w:rFonts w:ascii="Source Sans Pro" w:hAnsi="Source Sans Pro"/>
          <w:b/>
          <w:color w:val="FFFFFF" w:themeColor="background1"/>
          <w:sz w:val="28"/>
          <w:szCs w:val="28"/>
          <w:highlight w:val="darkBlue"/>
          <w:shd w:val="clear" w:color="auto" w:fill="FFFFFF"/>
          <w:vertAlign w:val="superscript"/>
        </w:rPr>
        <w:t>st</w:t>
      </w:r>
      <w:r w:rsidRPr="00106254">
        <w:rPr>
          <w:rFonts w:ascii="Source Sans Pro" w:hAnsi="Source Sans Pro"/>
          <w:b/>
          <w:color w:val="FFFFFF" w:themeColor="background1"/>
          <w:sz w:val="28"/>
          <w:szCs w:val="28"/>
          <w:highlight w:val="darkBlue"/>
          <w:shd w:val="clear" w:color="auto" w:fill="FFFFFF"/>
        </w:rPr>
        <w:t> through November 15</w:t>
      </w:r>
      <w:r w:rsidRPr="00106254">
        <w:rPr>
          <w:rFonts w:ascii="Source Sans Pro" w:hAnsi="Source Sans Pro"/>
          <w:b/>
          <w:color w:val="FFFFFF" w:themeColor="background1"/>
          <w:sz w:val="28"/>
          <w:szCs w:val="28"/>
          <w:highlight w:val="darkBlue"/>
          <w:shd w:val="clear" w:color="auto" w:fill="FFFFFF"/>
          <w:vertAlign w:val="superscript"/>
        </w:rPr>
        <w:t>th</w:t>
      </w:r>
      <w:r w:rsidRPr="00106254">
        <w:rPr>
          <w:rFonts w:ascii="Source Sans Pro" w:hAnsi="Source Sans Pro"/>
          <w:b/>
          <w:color w:val="FFFFFF" w:themeColor="background1"/>
          <w:sz w:val="28"/>
          <w:szCs w:val="28"/>
          <w:highlight w:val="darkBlue"/>
          <w:shd w:val="clear" w:color="auto" w:fill="FFFFFF"/>
        </w:rPr>
        <w:t xml:space="preserve">. If you are ready to make your plan selection, </w:t>
      </w:r>
      <w:r w:rsidRPr="00106254">
        <w:rPr>
          <w:rFonts w:ascii="Source Sans Pro" w:hAnsi="Source Sans Pro"/>
          <w:b/>
          <w:color w:val="FFFFFF" w:themeColor="background1"/>
          <w:sz w:val="28"/>
          <w:szCs w:val="28"/>
          <w:highlight w:val="darkBlue"/>
          <w:shd w:val="clear" w:color="auto" w:fill="FFFFFF"/>
        </w:rPr>
        <w:t xml:space="preserve">contact </w:t>
      </w:r>
      <w:r w:rsidR="002767DA" w:rsidRPr="00106254">
        <w:rPr>
          <w:rFonts w:ascii="Source Sans Pro" w:hAnsi="Source Sans Pro"/>
          <w:b/>
          <w:color w:val="FFFFFF" w:themeColor="background1"/>
          <w:sz w:val="28"/>
          <w:szCs w:val="28"/>
          <w:highlight w:val="darkBlue"/>
          <w:shd w:val="clear" w:color="auto" w:fill="FFFFFF"/>
        </w:rPr>
        <w:t>OGB</w:t>
      </w:r>
    </w:p>
    <w:p w:rsidR="00755B57" w:rsidRPr="00755B57" w:rsidRDefault="00755B57" w:rsidP="00755B57">
      <w:pPr>
        <w:pStyle w:val="ListBullet"/>
        <w:numPr>
          <w:ilvl w:val="0"/>
          <w:numId w:val="0"/>
        </w:numPr>
        <w:rPr>
          <w:sz w:val="28"/>
          <w:szCs w:val="28"/>
        </w:rPr>
      </w:pPr>
    </w:p>
    <w:p w:rsidR="00755B57" w:rsidRDefault="002767DA" w:rsidP="0051699D">
      <w:pPr>
        <w:pStyle w:val="ListBullet"/>
        <w:numPr>
          <w:ilvl w:val="0"/>
          <w:numId w:val="0"/>
        </w:numPr>
        <w:rPr>
          <w:rFonts w:ascii="Source Sans Pro" w:hAnsi="Source Sans Pro"/>
          <w:color w:val="000000"/>
          <w:sz w:val="20"/>
          <w:szCs w:val="20"/>
          <w:shd w:val="clear" w:color="auto" w:fill="FFFFFF"/>
        </w:rPr>
      </w:pPr>
      <w:r w:rsidRPr="00EC5E75">
        <w:rPr>
          <w:rFonts w:ascii="Source Sans Pro" w:hAnsi="Source Sans Pro"/>
          <w:b/>
          <w:color w:val="000000"/>
          <w:sz w:val="20"/>
          <w:szCs w:val="20"/>
          <w:shd w:val="clear" w:color="auto" w:fill="FFFFFF"/>
        </w:rPr>
        <w:t xml:space="preserve">The </w:t>
      </w:r>
      <w:r w:rsidR="00AD0F79" w:rsidRPr="00EC5E75">
        <w:rPr>
          <w:rFonts w:ascii="Source Sans Pro" w:hAnsi="Source Sans Pro"/>
          <w:b/>
          <w:color w:val="000000"/>
          <w:sz w:val="20"/>
          <w:szCs w:val="20"/>
          <w:shd w:val="clear" w:color="auto" w:fill="FFFFFF"/>
        </w:rPr>
        <w:t xml:space="preserve">OGB </w:t>
      </w:r>
      <w:r w:rsidRPr="00EC5E75">
        <w:rPr>
          <w:rFonts w:ascii="Source Sans Pro" w:hAnsi="Source Sans Pro"/>
          <w:b/>
          <w:color w:val="000000"/>
          <w:sz w:val="20"/>
          <w:szCs w:val="20"/>
          <w:shd w:val="clear" w:color="auto" w:fill="FFFFFF"/>
        </w:rPr>
        <w:t xml:space="preserve">customer service line is open from 8 a.m. to 4:30 p.m. Monday through Friday. Call </w:t>
      </w:r>
      <w:r w:rsidR="00EC5E75" w:rsidRPr="00EC5E75">
        <w:rPr>
          <w:rFonts w:ascii="Source Sans Pro" w:hAnsi="Source Sans Pro"/>
          <w:b/>
          <w:color w:val="000000"/>
          <w:sz w:val="20"/>
          <w:szCs w:val="20"/>
          <w:shd w:val="clear" w:color="auto" w:fill="FFFFFF"/>
        </w:rPr>
        <w:t xml:space="preserve"> </w:t>
      </w:r>
      <w:hyperlink r:id="rId17" w:history="1">
        <w:r w:rsidRPr="00EC5E75">
          <w:rPr>
            <w:rFonts w:ascii="Source Sans Pro" w:hAnsi="Source Sans Pro"/>
            <w:b/>
            <w:color w:val="0B579A"/>
            <w:sz w:val="20"/>
            <w:szCs w:val="20"/>
            <w:u w:val="single"/>
            <w:shd w:val="clear" w:color="auto" w:fill="FFFFFF"/>
          </w:rPr>
          <w:t>1-800-272-8451</w:t>
        </w:r>
      </w:hyperlink>
      <w:r w:rsidRPr="00EC5E75">
        <w:rPr>
          <w:rFonts w:ascii="Source Sans Pro" w:hAnsi="Source Sans Pro"/>
          <w:color w:val="000000"/>
          <w:sz w:val="20"/>
          <w:szCs w:val="20"/>
          <w:shd w:val="clear" w:color="auto" w:fill="FFFFFF"/>
        </w:rPr>
        <w:t>.</w:t>
      </w:r>
    </w:p>
    <w:p w:rsidR="0051699D" w:rsidRPr="0051699D" w:rsidRDefault="0051699D" w:rsidP="0051699D">
      <w:pPr>
        <w:shd w:val="clear" w:color="auto" w:fill="FFFFFF"/>
        <w:spacing w:after="0" w:line="240" w:lineRule="auto"/>
        <w:jc w:val="left"/>
        <w:rPr>
          <w:rFonts w:ascii="Century Gothic" w:eastAsia="Times New Roman" w:hAnsi="Century Gothic" w:cs="Calibri"/>
          <w:b/>
          <w:bCs/>
          <w:color w:val="2F5496"/>
          <w:sz w:val="16"/>
          <w:szCs w:val="16"/>
          <w:bdr w:val="none" w:sz="0" w:space="0" w:color="auto" w:frame="1"/>
        </w:rPr>
      </w:pPr>
      <w:r w:rsidRPr="0051699D">
        <w:rPr>
          <w:rFonts w:ascii="Century Gothic" w:eastAsia="Times New Roman" w:hAnsi="Century Gothic" w:cs="Calibri"/>
          <w:b/>
          <w:bCs/>
          <w:color w:val="2F5496"/>
          <w:sz w:val="16"/>
          <w:szCs w:val="16"/>
          <w:bdr w:val="none" w:sz="0" w:space="0" w:color="auto" w:frame="1"/>
        </w:rPr>
        <w:t>Angela M. Dunn Benefits Manager, Human Resources</w:t>
      </w:r>
    </w:p>
    <w:p w:rsidR="0051699D" w:rsidRPr="0051699D" w:rsidRDefault="0051699D" w:rsidP="0051699D">
      <w:pPr>
        <w:shd w:val="clear" w:color="auto" w:fill="FFFFFF"/>
        <w:spacing w:after="0" w:line="240" w:lineRule="auto"/>
        <w:jc w:val="left"/>
        <w:rPr>
          <w:rFonts w:ascii="Century Gothic" w:eastAsia="Times New Roman" w:hAnsi="Century Gothic" w:cs="Calibri"/>
          <w:b/>
          <w:bCs/>
          <w:color w:val="2F5496"/>
          <w:bdr w:val="none" w:sz="0" w:space="0" w:color="auto" w:frame="1"/>
        </w:rPr>
      </w:pPr>
      <w:r w:rsidRPr="0051699D">
        <w:rPr>
          <w:rFonts w:ascii="Century Gothic" w:eastAsia="Times New Roman" w:hAnsi="Century Gothic" w:cs="Calibri"/>
          <w:color w:val="2F5496"/>
          <w:sz w:val="18"/>
          <w:szCs w:val="18"/>
          <w:bdr w:val="none" w:sz="0" w:space="0" w:color="auto" w:frame="1"/>
        </w:rPr>
        <w:t>Southern University at New Orleans</w:t>
      </w:r>
    </w:p>
    <w:p w:rsidR="0051699D" w:rsidRDefault="0051699D" w:rsidP="0051699D">
      <w:pPr>
        <w:shd w:val="clear" w:color="auto" w:fill="FFFFFF"/>
        <w:spacing w:after="0" w:line="240" w:lineRule="auto"/>
        <w:jc w:val="left"/>
        <w:rPr>
          <w:rFonts w:ascii="Calibri" w:eastAsia="Times New Roman" w:hAnsi="Calibri" w:cs="Calibri"/>
          <w:color w:val="242424"/>
        </w:rPr>
      </w:pPr>
      <w:r w:rsidRPr="0051699D">
        <w:rPr>
          <w:rFonts w:ascii="Century Gothic" w:eastAsia="Times New Roman" w:hAnsi="Century Gothic" w:cs="Calibri"/>
          <w:color w:val="2F5496"/>
          <w:sz w:val="18"/>
          <w:szCs w:val="18"/>
          <w:bdr w:val="none" w:sz="0" w:space="0" w:color="auto" w:frame="1"/>
        </w:rPr>
        <w:t>Emmett Bashful Administration Bldg., Room 317</w:t>
      </w:r>
    </w:p>
    <w:p w:rsidR="0051699D" w:rsidRPr="0051699D" w:rsidRDefault="0051699D" w:rsidP="0051699D">
      <w:pPr>
        <w:shd w:val="clear" w:color="auto" w:fill="FFFFFF"/>
        <w:spacing w:after="0" w:line="240" w:lineRule="auto"/>
        <w:jc w:val="left"/>
        <w:rPr>
          <w:rFonts w:ascii="Calibri" w:eastAsia="Times New Roman" w:hAnsi="Calibri" w:cs="Calibri"/>
          <w:color w:val="242424"/>
        </w:rPr>
      </w:pPr>
      <w:r w:rsidRPr="0051699D">
        <w:rPr>
          <w:rFonts w:ascii="Century Gothic" w:eastAsia="Times New Roman" w:hAnsi="Century Gothic" w:cs="Calibri"/>
          <w:color w:val="2F5496"/>
          <w:sz w:val="18"/>
          <w:szCs w:val="18"/>
          <w:bdr w:val="none" w:sz="0" w:space="0" w:color="auto" w:frame="1"/>
        </w:rPr>
        <w:t>p: 504-286-5279</w:t>
      </w:r>
      <w:r>
        <w:rPr>
          <w:rFonts w:ascii="Century Gothic" w:eastAsia="Times New Roman" w:hAnsi="Century Gothic" w:cs="Calibri"/>
          <w:color w:val="2F5496"/>
          <w:sz w:val="18"/>
          <w:szCs w:val="18"/>
          <w:bdr w:val="none" w:sz="0" w:space="0" w:color="auto" w:frame="1"/>
        </w:rPr>
        <w:t xml:space="preserve"> </w:t>
      </w:r>
      <w:r w:rsidRPr="0051699D">
        <w:rPr>
          <w:rFonts w:ascii="Century Gothic" w:eastAsia="Times New Roman" w:hAnsi="Century Gothic" w:cs="Calibri"/>
          <w:color w:val="2F5496"/>
          <w:sz w:val="18"/>
          <w:szCs w:val="18"/>
          <w:bdr w:val="none" w:sz="0" w:space="0" w:color="auto" w:frame="1"/>
        </w:rPr>
        <w:t>e: </w:t>
      </w:r>
      <w:r>
        <w:rPr>
          <w:rFonts w:ascii="Century Gothic" w:eastAsia="Times New Roman" w:hAnsi="Century Gothic" w:cs="Calibri"/>
          <w:color w:val="2F5496"/>
          <w:sz w:val="18"/>
          <w:szCs w:val="18"/>
          <w:bdr w:val="none" w:sz="0" w:space="0" w:color="auto" w:frame="1"/>
        </w:rPr>
        <w:t>adunn@suno.edu</w:t>
      </w:r>
    </w:p>
    <w:sectPr w:rsidR="0051699D" w:rsidRPr="0051699D" w:rsidSect="001651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0A9" w:rsidRDefault="008840A9" w:rsidP="00706D60">
      <w:r>
        <w:separator/>
      </w:r>
    </w:p>
  </w:endnote>
  <w:endnote w:type="continuationSeparator" w:id="0">
    <w:p w:rsidR="008840A9" w:rsidRDefault="008840A9"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317601"/>
      <w:docPartObj>
        <w:docPartGallery w:val="Page Numbers (Bottom of Page)"/>
        <w:docPartUnique/>
      </w:docPartObj>
    </w:sdtPr>
    <w:sdtEndPr>
      <w:rPr>
        <w:noProof/>
      </w:rPr>
    </w:sdtEndPr>
    <w:sdtContent>
      <w:p w:rsidR="00755B57" w:rsidRDefault="00755B57" w:rsidP="00706D60">
        <w:pPr>
          <w:pStyle w:val="Footer"/>
        </w:pPr>
        <w:r>
          <w:fldChar w:fldCharType="begin"/>
        </w:r>
        <w:r>
          <w:instrText xml:space="preserve"> PAGE   \* MERGEFORMAT </w:instrText>
        </w:r>
        <w:r>
          <w:fldChar w:fldCharType="separate"/>
        </w:r>
        <w:r>
          <w:rPr>
            <w:noProof/>
          </w:rPr>
          <w:t>2</w:t>
        </w:r>
        <w:r>
          <w:rPr>
            <w:noProof/>
          </w:rPr>
          <w:fldChar w:fldCharType="end"/>
        </w:r>
      </w:p>
    </w:sdtContent>
  </w:sdt>
  <w:p w:rsidR="00755B57" w:rsidRDefault="00755B57" w:rsidP="00706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rPr>
        <w:noProof/>
      </w:rPr>
    </w:sdtEndPr>
    <w:sdtContent>
      <w:p w:rsidR="00E653C0" w:rsidRDefault="00E653C0" w:rsidP="00706D60">
        <w:pPr>
          <w:pStyle w:val="Footer"/>
        </w:pPr>
        <w:r>
          <w:fldChar w:fldCharType="begin"/>
        </w:r>
        <w:r>
          <w:instrText xml:space="preserve"> PAGE   \* MERGEFORMAT </w:instrText>
        </w:r>
        <w:r>
          <w:fldChar w:fldCharType="separate"/>
        </w:r>
        <w:r>
          <w:rPr>
            <w:noProof/>
          </w:rPr>
          <w:t>2</w:t>
        </w:r>
        <w:r>
          <w:rPr>
            <w:noProof/>
          </w:rPr>
          <w:fldChar w:fldCharType="end"/>
        </w:r>
      </w:p>
    </w:sdtContent>
  </w:sdt>
  <w:p w:rsidR="00E653C0"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0A9" w:rsidRDefault="008840A9" w:rsidP="00706D60">
      <w:r>
        <w:separator/>
      </w:r>
    </w:p>
  </w:footnote>
  <w:footnote w:type="continuationSeparator" w:id="0">
    <w:p w:rsidR="008840A9" w:rsidRDefault="008840A9"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35964F4"/>
    <w:multiLevelType w:val="multilevel"/>
    <w:tmpl w:val="47F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AA"/>
    <w:rsid w:val="00020FC9"/>
    <w:rsid w:val="000411DF"/>
    <w:rsid w:val="0008174B"/>
    <w:rsid w:val="000B5E2F"/>
    <w:rsid w:val="000C5F4F"/>
    <w:rsid w:val="00106254"/>
    <w:rsid w:val="00136DDD"/>
    <w:rsid w:val="00165112"/>
    <w:rsid w:val="00184A71"/>
    <w:rsid w:val="001A0417"/>
    <w:rsid w:val="001A70F2"/>
    <w:rsid w:val="0022046C"/>
    <w:rsid w:val="002437EF"/>
    <w:rsid w:val="002767DA"/>
    <w:rsid w:val="002974C8"/>
    <w:rsid w:val="002B5D98"/>
    <w:rsid w:val="002C5772"/>
    <w:rsid w:val="003161E7"/>
    <w:rsid w:val="004022AA"/>
    <w:rsid w:val="00416074"/>
    <w:rsid w:val="00444828"/>
    <w:rsid w:val="00497899"/>
    <w:rsid w:val="004F392D"/>
    <w:rsid w:val="0051699D"/>
    <w:rsid w:val="00542F7A"/>
    <w:rsid w:val="00576B76"/>
    <w:rsid w:val="00586D8C"/>
    <w:rsid w:val="006512AE"/>
    <w:rsid w:val="006778E3"/>
    <w:rsid w:val="006924CF"/>
    <w:rsid w:val="006B6867"/>
    <w:rsid w:val="006D3FD3"/>
    <w:rsid w:val="00706D60"/>
    <w:rsid w:val="00710767"/>
    <w:rsid w:val="0073372F"/>
    <w:rsid w:val="00755B57"/>
    <w:rsid w:val="007E363C"/>
    <w:rsid w:val="008327CF"/>
    <w:rsid w:val="00873804"/>
    <w:rsid w:val="00875493"/>
    <w:rsid w:val="008840A9"/>
    <w:rsid w:val="008B678D"/>
    <w:rsid w:val="008E4CD9"/>
    <w:rsid w:val="008E68A6"/>
    <w:rsid w:val="0096777A"/>
    <w:rsid w:val="0097024E"/>
    <w:rsid w:val="00974552"/>
    <w:rsid w:val="009B24E6"/>
    <w:rsid w:val="009B658F"/>
    <w:rsid w:val="009C36C5"/>
    <w:rsid w:val="00A518CA"/>
    <w:rsid w:val="00AD0F79"/>
    <w:rsid w:val="00B73C61"/>
    <w:rsid w:val="00B9702E"/>
    <w:rsid w:val="00BA4112"/>
    <w:rsid w:val="00C133D7"/>
    <w:rsid w:val="00C47447"/>
    <w:rsid w:val="00C6701C"/>
    <w:rsid w:val="00C7287A"/>
    <w:rsid w:val="00C85251"/>
    <w:rsid w:val="00CA722F"/>
    <w:rsid w:val="00CC691B"/>
    <w:rsid w:val="00CF2FCE"/>
    <w:rsid w:val="00D25B00"/>
    <w:rsid w:val="00D26120"/>
    <w:rsid w:val="00D815DE"/>
    <w:rsid w:val="00D92464"/>
    <w:rsid w:val="00DA25BD"/>
    <w:rsid w:val="00DA6894"/>
    <w:rsid w:val="00DC487D"/>
    <w:rsid w:val="00E235E0"/>
    <w:rsid w:val="00E4321D"/>
    <w:rsid w:val="00E541C4"/>
    <w:rsid w:val="00E55C29"/>
    <w:rsid w:val="00E653C0"/>
    <w:rsid w:val="00E930ED"/>
    <w:rsid w:val="00E96235"/>
    <w:rsid w:val="00EB318B"/>
    <w:rsid w:val="00EC4394"/>
    <w:rsid w:val="00EC5E75"/>
    <w:rsid w:val="00F01492"/>
    <w:rsid w:val="00F421C1"/>
    <w:rsid w:val="00F43844"/>
    <w:rsid w:val="00F5245D"/>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01C"/>
    <w:pPr>
      <w:jc w:val="both"/>
    </w:pPr>
  </w:style>
  <w:style w:type="paragraph" w:styleId="Heading1">
    <w:name w:val="heading 1"/>
    <w:basedOn w:val="Normal"/>
    <w:next w:val="Normal"/>
    <w:link w:val="Heading1Char"/>
    <w:uiPriority w:val="9"/>
    <w:qFormat/>
    <w:rsid w:val="00706D60"/>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qFormat/>
    <w:rsid w:val="004022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706D60"/>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706D60"/>
    <w:pPr>
      <w:jc w:val="center"/>
      <w:outlineLvl w:val="9"/>
    </w:pPr>
  </w:style>
  <w:style w:type="paragraph" w:styleId="TOC1">
    <w:name w:val="toc 1"/>
    <w:basedOn w:val="Normal"/>
    <w:next w:val="Normal"/>
    <w:autoRedefine/>
    <w:uiPriority w:val="39"/>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701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rsid w:val="006512AE"/>
    <w:pPr>
      <w:spacing w:after="100"/>
      <w:ind w:left="220"/>
    </w:pPr>
  </w:style>
  <w:style w:type="paragraph" w:styleId="ListParagraph">
    <w:name w:val="List Paragraph"/>
    <w:basedOn w:val="Normal"/>
    <w:uiPriority w:val="34"/>
    <w:semiHidden/>
    <w:qFormat/>
    <w:rsid w:val="009B658F"/>
    <w:pPr>
      <w:ind w:left="720"/>
      <w:contextualSpacing/>
    </w:pPr>
  </w:style>
  <w:style w:type="paragraph" w:styleId="Header">
    <w:name w:val="header"/>
    <w:basedOn w:val="Normal"/>
    <w:link w:val="HeaderChar"/>
    <w:uiPriority w:val="99"/>
    <w:semiHidden/>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701C"/>
  </w:style>
  <w:style w:type="paragraph" w:styleId="Footer">
    <w:name w:val="footer"/>
    <w:basedOn w:val="Normal"/>
    <w:link w:val="FooterChar"/>
    <w:uiPriority w:val="99"/>
    <w:unhideWhenUsed/>
    <w:rsid w:val="0022046C"/>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22046C"/>
  </w:style>
  <w:style w:type="paragraph" w:styleId="ListBullet">
    <w:name w:val="List Bullet"/>
    <w:basedOn w:val="Normal"/>
    <w:uiPriority w:val="99"/>
    <w:rsid w:val="00D26120"/>
    <w:pPr>
      <w:numPr>
        <w:numId w:val="3"/>
      </w:numPr>
      <w:contextualSpacing/>
    </w:pPr>
  </w:style>
  <w:style w:type="paragraph" w:styleId="Subtitle">
    <w:name w:val="Subtitle"/>
    <w:basedOn w:val="Normal"/>
    <w:next w:val="Normal"/>
    <w:link w:val="SubtitleChar"/>
    <w:uiPriority w:val="11"/>
    <w:qFormat/>
    <w:rsid w:val="00706D60"/>
    <w:pPr>
      <w:jc w:val="center"/>
    </w:pPr>
  </w:style>
  <w:style w:type="character" w:customStyle="1" w:styleId="SubtitleChar">
    <w:name w:val="Subtitle Char"/>
    <w:basedOn w:val="DefaultParagraphFont"/>
    <w:link w:val="Subtitle"/>
    <w:uiPriority w:val="11"/>
    <w:rsid w:val="00706D60"/>
  </w:style>
  <w:style w:type="paragraph" w:styleId="Title">
    <w:name w:val="Title"/>
    <w:basedOn w:val="Normal"/>
    <w:next w:val="Normal"/>
    <w:link w:val="TitleChar"/>
    <w:uiPriority w:val="10"/>
    <w:qFormat/>
    <w:rsid w:val="00706D60"/>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D60"/>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4022A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3805">
      <w:bodyDiv w:val="1"/>
      <w:marLeft w:val="0"/>
      <w:marRight w:val="0"/>
      <w:marTop w:val="0"/>
      <w:marBottom w:val="0"/>
      <w:divBdr>
        <w:top w:val="none" w:sz="0" w:space="0" w:color="auto"/>
        <w:left w:val="none" w:sz="0" w:space="0" w:color="auto"/>
        <w:bottom w:val="none" w:sz="0" w:space="0" w:color="auto"/>
        <w:right w:val="none" w:sz="0" w:space="0" w:color="auto"/>
      </w:divBdr>
    </w:div>
    <w:div w:id="316156292">
      <w:bodyDiv w:val="1"/>
      <w:marLeft w:val="0"/>
      <w:marRight w:val="0"/>
      <w:marTop w:val="0"/>
      <w:marBottom w:val="0"/>
      <w:divBdr>
        <w:top w:val="none" w:sz="0" w:space="0" w:color="auto"/>
        <w:left w:val="none" w:sz="0" w:space="0" w:color="auto"/>
        <w:bottom w:val="none" w:sz="0" w:space="0" w:color="auto"/>
        <w:right w:val="none" w:sz="0" w:space="0" w:color="auto"/>
      </w:divBdr>
    </w:div>
    <w:div w:id="949509772">
      <w:bodyDiv w:val="1"/>
      <w:marLeft w:val="0"/>
      <w:marRight w:val="0"/>
      <w:marTop w:val="0"/>
      <w:marBottom w:val="0"/>
      <w:divBdr>
        <w:top w:val="none" w:sz="0" w:space="0" w:color="auto"/>
        <w:left w:val="none" w:sz="0" w:space="0" w:color="auto"/>
        <w:bottom w:val="none" w:sz="0" w:space="0" w:color="auto"/>
        <w:right w:val="none" w:sz="0" w:space="0" w:color="auto"/>
      </w:divBdr>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 w:id="178153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tel:18002728451" TargetMode="Externa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nn\AppData\Roaming\Microsoft\Templates\Whitepaper%20with%20cover%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FEE5BC8-9F95-448B-B53D-00E4BCFA41AC}">
  <ds:schemaRefs>
    <ds:schemaRef ds:uri="http://schemas.microsoft.com/sharepoint/v3/contenttype/forms"/>
  </ds:schemaRefs>
</ds:datastoreItem>
</file>

<file path=customXml/itemProps3.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ED035A-9E7D-4E6F-AFB6-D8825F9A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Whitepaper with cover image</Template>
  <TotalTime>0</TotalTime>
  <Pages>4</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2023-10-13T15:48:00Z</dcterms:created>
  <dcterms:modified xsi:type="dcterms:W3CDTF">2023-10-13T16:52:00Z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